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</w:p>
    <w:p>
      <w:pPr>
        <w:pStyle w:val="NoSpacing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</w:p>
    <w:p>
      <w:pPr>
        <w:pStyle w:val="NoSpacing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</w:p>
    <w:p>
      <w:pPr>
        <w:pStyle w:val="NoSpacing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</w:p>
    <w:p>
      <w:pPr>
        <w:pStyle w:val="NoSpacing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</w:p>
    <w:p>
      <w:pPr>
        <w:pStyle w:val="NoSpacing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</w:p>
    <w:p>
      <w:pPr>
        <w:pStyle w:val="NoSpacing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</w:p>
    <w:p>
      <w:pPr>
        <w:pStyle w:val="NoSpacing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</w:p>
    <w:p>
      <w:pPr>
        <w:pStyle w:val="Normal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>Изменения в Генеральный план города Костромы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</w:r>
    </w:p>
    <w:p>
      <w:pPr>
        <w:pStyle w:val="Normal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 xml:space="preserve">Материалы по обоснованию изменений Генерального </w:t>
      </w:r>
    </w:p>
    <w:p>
      <w:pPr>
        <w:pStyle w:val="Normal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>плана города Костромы</w:t>
      </w:r>
    </w:p>
    <w:p>
      <w:pPr>
        <w:pStyle w:val="Normal"/>
        <w:ind w:firstLine="426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Начальник Управления архитектуры </w:t>
      </w:r>
    </w:p>
    <w:p>
      <w:pPr>
        <w:pStyle w:val="Normal"/>
        <w:ind w:firstLine="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 градостроительства, главный архитектор</w:t>
      </w:r>
    </w:p>
    <w:p>
      <w:pPr>
        <w:pStyle w:val="Normal"/>
        <w:ind w:firstLine="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города Костромы                                                                                    А. В. Козырев</w:t>
      </w:r>
    </w:p>
    <w:p>
      <w:pPr>
        <w:pStyle w:val="Normal"/>
        <w:ind w:firstLine="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ind w:firstLine="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ind w:firstLine="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 отдела перспективного</w:t>
      </w:r>
    </w:p>
    <w:p>
      <w:pPr>
        <w:pStyle w:val="Normal"/>
        <w:ind w:firstLine="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развития территорий                                                                             Н. А. Сахарова</w:t>
      </w:r>
    </w:p>
    <w:p>
      <w:pPr>
        <w:pStyle w:val="Normal"/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426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2024 г.</w:t>
      </w:r>
      <w:r>
        <w:br w:type="page"/>
      </w:r>
    </w:p>
    <w:p>
      <w:pPr>
        <w:pStyle w:val="Normal"/>
        <w:spacing w:before="0" w:after="160"/>
        <w:ind w:firstLine="426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0" w:right="-285" w:firstLine="709"/>
        <w:jc w:val="both"/>
        <w:outlineLvl w:val="0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sz w:val="26"/>
          <w:szCs w:val="26"/>
          <w:lang w:eastAsia="ru-RU"/>
        </w:rPr>
        <w:t>1. Внести в материалы по обоснованию Генерального плана города Костромы, следующие изменения: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0" w:right="-285" w:firstLine="709"/>
        <w:jc w:val="both"/>
        <w:outlineLvl w:val="0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sz w:val="26"/>
          <w:szCs w:val="26"/>
          <w:lang w:eastAsia="ru-RU"/>
        </w:rPr>
        <w:t>1.1. в Томе II «Материалы по обоснованию изменений Генерального плана города Костромы»: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Autospacing="0" w:before="0" w:afterAutospacing="0" w:after="0"/>
        <w:ind w:left="0" w:right="-283" w:firstLine="737"/>
        <w:jc w:val="both"/>
        <w:outlineLvl w:val="0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sz w:val="26"/>
          <w:szCs w:val="26"/>
          <w:lang w:eastAsia="ru-RU"/>
        </w:rPr>
        <w:t>1.1.1. подраздел «Внутренний водный транспорт» раздела 2.3.2 изложить в следующей редакции:</w:t>
      </w:r>
    </w:p>
    <w:p>
      <w:pPr>
        <w:pStyle w:val="Normal"/>
        <w:tabs>
          <w:tab w:val="clear" w:pos="720"/>
          <w:tab w:val="left" w:pos="8205" w:leader="none"/>
        </w:tabs>
        <w:spacing w:lineRule="auto" w:line="240" w:before="0" w:after="0"/>
        <w:ind w:firstLine="851"/>
        <w:jc w:val="center"/>
        <w:rPr>
          <w:sz w:val="26"/>
        </w:rPr>
      </w:pPr>
      <w:r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b/>
          <w:sz w:val="26"/>
          <w:szCs w:val="26"/>
        </w:rPr>
        <w:t>Внутренний водный транспорт</w:t>
      </w:r>
    </w:p>
    <w:p>
      <w:pPr>
        <w:pStyle w:val="Normal"/>
        <w:widowControl/>
        <w:tabs>
          <w:tab w:val="clear" w:pos="720"/>
          <w:tab w:val="left" w:pos="8205" w:leader="none"/>
        </w:tabs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Речной транспорт уже в течение длительного времени продолжает терять свои позиции в перевозках из-за развивающихся перевозок железнодорожным и автомобильным транспортом.</w:t>
      </w:r>
    </w:p>
    <w:p>
      <w:pPr>
        <w:pStyle w:val="Normal"/>
        <w:widowControl/>
        <w:tabs>
          <w:tab w:val="clear" w:pos="720"/>
          <w:tab w:val="left" w:pos="8205" w:leader="none"/>
        </w:tabs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В настоящее время в Костроме имеется грузовой порт, расположенный в южной части на левом берегу в районе Васильевского шоссе. Порт имеет две причальные стенки общей протяжённостью 485 метров. Состояние причальных стенок удовлетворительное.</w:t>
      </w:r>
    </w:p>
    <w:p>
      <w:pPr>
        <w:pStyle w:val="Normal"/>
        <w:widowControl/>
        <w:tabs>
          <w:tab w:val="clear" w:pos="720"/>
          <w:tab w:val="left" w:pos="8205" w:leader="none"/>
        </w:tabs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Набережная левого берега реки Волги оборудована тремя причалами для причаливания судов различного класса. Пассажирские перевозки осуществляются от дебаркадера, расположенного в центральной части в районе улицы Молочная гора. Рядом располагается дебаркадер к которому причаливают круизные суда.</w:t>
      </w:r>
    </w:p>
    <w:p>
      <w:pPr>
        <w:pStyle w:val="Normal"/>
        <w:tabs>
          <w:tab w:val="clear" w:pos="720"/>
          <w:tab w:val="left" w:pos="8205" w:leader="none"/>
        </w:tabs>
        <w:spacing w:lineRule="auto" w:line="240" w:before="0" w:after="0"/>
        <w:ind w:firstLine="851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Согласно пункту 1 статьи 9 Кодекса внутреннего водного транспорта Российской Федерации строительство и эксплуатация сооружений на внутренних водных путях осуществляется по согласованию с администрациями бассейнов внутренних водных путей.</w:t>
      </w:r>
    </w:p>
    <w:p>
      <w:pPr>
        <w:pStyle w:val="Normal"/>
        <w:tabs>
          <w:tab w:val="clear" w:pos="720"/>
          <w:tab w:val="left" w:pos="8205" w:leader="none"/>
        </w:tabs>
        <w:spacing w:lineRule="auto" w:line="240" w:before="0" w:after="0"/>
        <w:ind w:firstLine="851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 xml:space="preserve">Перечень участков водной поверхности, в отношении которых оформлены договоры водопользования и (или) получены решения о строительстве на водной поверхности Горьковского водохранилища в пределах города Костромы приведены в таблицах 2.3.2.4 и 2.3.2.5. </w:t>
      </w:r>
    </w:p>
    <w:p>
      <w:pPr>
        <w:pStyle w:val="Normal"/>
        <w:tabs>
          <w:tab w:val="clear" w:pos="720"/>
          <w:tab w:val="left" w:pos="8205" w:leader="none"/>
        </w:tabs>
        <w:spacing w:lineRule="auto" w:line="240" w:before="0" w:after="0"/>
        <w:ind w:firstLine="851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Указанный перечень является исчерпывающим, размещение новых объектов на водной поверхности возможно только путем внесения изменений в Генеральный план города Костромы.</w:t>
      </w:r>
    </w:p>
    <w:p>
      <w:pPr>
        <w:pStyle w:val="Normal"/>
        <w:tabs>
          <w:tab w:val="clear" w:pos="720"/>
          <w:tab w:val="left" w:pos="8205" w:leader="none"/>
        </w:tabs>
        <w:spacing w:lineRule="auto" w:line="240" w:before="0" w:after="0"/>
        <w:ind w:firstLine="851"/>
        <w:jc w:val="right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Таблица 2.3.2.4</w:t>
      </w:r>
    </w:p>
    <w:p>
      <w:pPr>
        <w:pStyle w:val="Normal"/>
        <w:tabs>
          <w:tab w:val="clear" w:pos="720"/>
          <w:tab w:val="left" w:pos="8205" w:leader="none"/>
        </w:tabs>
        <w:spacing w:lineRule="auto" w:line="240" w:before="0" w:after="0"/>
        <w:ind w:firstLine="851"/>
        <w:jc w:val="center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Перечень участков водной поверхности Горьковского водохранилища в границах города Костромы, в отношении которых оформлены договоры водопользования (данные на 11.11.2024)</w:t>
      </w:r>
    </w:p>
    <w:tbl>
      <w:tblPr>
        <w:tblW w:w="10075" w:type="dxa"/>
        <w:jc w:val="left"/>
        <w:tblInd w:w="-2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40"/>
        <w:gridCol w:w="4140"/>
        <w:gridCol w:w="2774"/>
        <w:gridCol w:w="2320"/>
      </w:tblGrid>
      <w:tr>
        <w:trPr>
          <w:trHeight w:val="563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  <w:r>
              <w:rPr>
                <w:rFonts w:eastAsia="Liberation Serif;Times New Roman" w:cs="Liberation Serif;Times New Roman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п/п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Водопользователь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Дата, номер договора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Местоположение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suppressLineNumbers/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tabs>
                <w:tab w:val="clear" w:pos="720"/>
                <w:tab w:val="left" w:pos="3994" w:leader="none"/>
              </w:tabs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Некоммерческое партнерство «Лодочный причал имени Комбината  Ленина»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От 14.02.2020 №….-00880/22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Пер. Малый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Физическое лицо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31.08.2016</w:t>
            </w:r>
          </w:p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12.09.2016 № ….-00537/00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ул. Красная Байдарка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Лодочный гаражный потребиельский кооператив «Акватория»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10.03.2020 № ….-00885/00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ул. Островского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Физическое лицо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31.08.2016</w:t>
            </w:r>
          </w:p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12.09.2016 № ….-00537/00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ул. Красная Байдарка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Физическое лицо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16.12.2016</w:t>
            </w:r>
          </w:p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12.12.2016 № ….-00558/00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ул. Ерохова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АО «Причал»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23.04.2024 №….-44/01130064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ул. 1 Мая, напротив д.12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tabs>
                <w:tab w:val="clear" w:pos="720"/>
                <w:tab w:val="left" w:pos="3994" w:leader="none"/>
              </w:tabs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Некоммерческое партнерство «Лодочный причал имени Комбината  Ленина»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13.04.2015</w:t>
            </w:r>
          </w:p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24.04.2015 №….  -00434/00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ул. Ерохова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«Костромская верфь»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12.04.2021 № …. - 01002/00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Правый берег, в районе Костросмкого судостроительно-судоремонтного завода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«Костромская верфь»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20.04.2021 № ...-01015/00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Правый берег, в районе Костросмкого судостроительно-судоремонтного завода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Лодочный потребительский кооператив «Волжский причал»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09.02.2022 №  - 00046/00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Фабричный районе, напротив судоверфи</w:t>
            </w:r>
          </w:p>
        </w:tc>
      </w:tr>
      <w:tr>
        <w:trPr>
          <w:trHeight w:val="611" w:hRule="atLeast"/>
        </w:trPr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«Дон-Строй»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06.09.2017 № … -00641/00 от 11.09.2017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ул. Заводсская, в р-не д. 2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«СК Меркурий»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06.07.2021 № … -01023/00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В районе ул. Береговой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Некоммерческое партнерство « Водно-спортивная лодочная база «Судостроитель»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26.07.2024 №...-44/01304693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ул. Заречная, в р-не д. 2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Физическое лицо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05.10.2022 № ...-16167/00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ул. Островского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Некоммерческое партнерство Водно-спортивный центр «Флагман»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09.10.2015</w:t>
            </w:r>
          </w:p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21.10.2015 №….-2015-00474/00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В р-не Чернигинской наб. у ж/д моста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«Автотранспортное предприятие № 7»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29.09.2020 № … - 00942/00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ул. Заречная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«Заповедная Кострома»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16.07.2023 № ….-27562/00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ул. Островского, в районе 59б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  <w:highlight w:val="none"/>
                <w:shd w:fill="auto" w:val="clear"/>
              </w:rPr>
            </w:pPr>
            <w:r>
              <w:rPr>
                <w:sz w:val="26"/>
                <w:szCs w:val="26"/>
                <w:shd w:fill="auto" w:val="clear"/>
              </w:rPr>
              <w:t>ООО «Старая пристань»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  <w:highlight w:val="none"/>
                <w:shd w:fill="auto" w:val="clear"/>
              </w:rPr>
            </w:pPr>
            <w:r>
              <w:rPr>
                <w:sz w:val="26"/>
                <w:szCs w:val="26"/>
                <w:shd w:fill="auto" w:val="clear"/>
              </w:rPr>
              <w:t>04.08.2023 № … - 29958/00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ул. 1 Мая, в районе 5а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ОАО «УК Русэнергокапитал»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26.09.2023 № ...-44/00678301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ул. Нижне-Набережная, в районе 60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Физическое лицо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01.07.2024 № … - 44/01252960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Ул. Просвещения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Физическое лицо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17.06.2024 № … -44/012543968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Чернигинская наб.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«Старая пристань»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17.05.2024 № … -44/01193645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ул. 1 Мая, в районе 8а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МБУ ДО г. Костромы «Детский морской центр»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19.02.2024 № … -44/01056841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Чернигинская наб, возле автопешеходного моста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Филиал «Защитные сооружения Костромской низины»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01.02.2024 №… -44/01033608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Старое устье р. Кострома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ЗАО «Пешеход»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16.09.2022 № … -15186/00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Правы берег в р-не ул. Береговой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ИП Метельков Алексей Александрович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21.04.2023 № … -25317/00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ул. 1 мая, в районе 14/2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«Партнер»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02.02.2021 № ...-00985/00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ул. Лесная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Физическое лицо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10.01.2024 № … -44/01008550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ул. Островского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Физическое лицо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22.10.2018 № … -00785/00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ул. Нижне-Набережная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Физическое лицо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11.01.2019 № … -00801/00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ул. 1 Мая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«Панорама»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07.05.2020 № … -00905/00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ул. Набережная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«Посейдон»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21.04.2023 № … -25318/00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ул. 1 Мая, 14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tabs>
                <w:tab w:val="clear" w:pos="720"/>
                <w:tab w:val="left" w:pos="3994" w:leader="none"/>
              </w:tabs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Лодочный потребительский кооператив «Причал»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25.03.2022 № … -01654/00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Фабричный р-н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tabs>
                <w:tab w:val="clear" w:pos="720"/>
                <w:tab w:val="left" w:pos="3994" w:leader="none"/>
              </w:tabs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ЗАО «Воларь-1»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Сведения отсутствуют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ул. Заречная, 2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tabs>
                <w:tab w:val="clear" w:pos="720"/>
                <w:tab w:val="left" w:pos="3994" w:leader="none"/>
              </w:tabs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РФСОО "Федерация боевоо самбо КО"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Сведения отсутствуют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ул. Городская, 51</w:t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4"/>
              </w:numPr>
              <w:bidi w:val="0"/>
              <w:snapToGrid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tabs>
                <w:tab w:val="clear" w:pos="720"/>
                <w:tab w:val="left" w:pos="3994" w:leader="none"/>
              </w:tabs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ОАО"Калориферный завод"</w:t>
            </w:r>
          </w:p>
        </w:tc>
        <w:tc>
          <w:tcPr>
            <w:tcW w:w="27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Сведения отсутствуют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ул. Красная Байдарка, 2</w:t>
            </w:r>
          </w:p>
        </w:tc>
      </w:tr>
    </w:tbl>
    <w:p>
      <w:pPr>
        <w:pStyle w:val="Normal"/>
        <w:tabs>
          <w:tab w:val="clear" w:pos="720"/>
          <w:tab w:val="left" w:pos="8205" w:leader="none"/>
        </w:tabs>
        <w:spacing w:lineRule="auto" w:line="240" w:before="0" w:after="0"/>
        <w:ind w:firstLine="851"/>
        <w:jc w:val="center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Перечень участков водной поверхности Горьковского водохранилища в границах города Костромы, в отношении которых оформлены решения на строительства (данные на 11.11.2024)</w:t>
      </w:r>
    </w:p>
    <w:p>
      <w:pPr>
        <w:pStyle w:val="Normal"/>
        <w:tabs>
          <w:tab w:val="clear" w:pos="720"/>
          <w:tab w:val="left" w:pos="8205" w:leader="none"/>
        </w:tabs>
        <w:spacing w:lineRule="auto" w:line="240" w:before="0" w:after="0"/>
        <w:ind w:firstLine="851"/>
        <w:jc w:val="right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Таблица 2.3.2.5</w:t>
      </w:r>
    </w:p>
    <w:tbl>
      <w:tblPr>
        <w:tblW w:w="9911" w:type="dxa"/>
        <w:jc w:val="left"/>
        <w:tblInd w:w="-1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19"/>
        <w:gridCol w:w="4021"/>
        <w:gridCol w:w="2910"/>
        <w:gridCol w:w="2260"/>
      </w:tblGrid>
      <w:tr>
        <w:trPr>
          <w:trHeight w:val="563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left"/>
              <w:rPr/>
            </w:pPr>
            <w:r>
              <w:rPr/>
              <w:t>№</w:t>
            </w:r>
            <w:r>
              <w:rPr>
                <w:rFonts w:eastAsia="Liberation Serif;Times New Roman" w:cs="Liberation Serif;Times New Roman"/>
              </w:rPr>
              <w:t xml:space="preserve"> </w:t>
            </w:r>
            <w:r>
              <w:rPr/>
              <w:t>п/п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Водопользователь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Дата, номер разрешения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Местоположение</w:t>
            </w:r>
          </w:p>
        </w:tc>
      </w:tr>
      <w:tr>
        <w:trPr>
          <w:trHeight w:val="563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suppressLineNumbers/>
              <w:bidi w:val="0"/>
              <w:ind w:left="113" w:right="113" w:hanging="0"/>
              <w:jc w:val="left"/>
              <w:rPr/>
            </w:pPr>
            <w:r>
              <w:rPr/>
              <w:t>1-р</w:t>
            </w:r>
          </w:p>
        </w:tc>
        <w:tc>
          <w:tcPr>
            <w:tcW w:w="402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ЛПК «Волжский берег»</w:t>
            </w:r>
          </w:p>
        </w:tc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Р02-00133-44/01224312 04.06.2024 - 04.06.2029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В р-не ул. Коммунаров, 5 напротив судомеханического завода</w:t>
            </w:r>
          </w:p>
        </w:tc>
      </w:tr>
      <w:tr>
        <w:trPr>
          <w:trHeight w:val="563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suppressLineNumbers/>
              <w:bidi w:val="0"/>
              <w:ind w:left="113" w:right="113" w:hanging="0"/>
              <w:jc w:val="left"/>
              <w:rPr/>
            </w:pPr>
            <w:r>
              <w:rPr/>
              <w:t>2-р</w:t>
            </w:r>
          </w:p>
        </w:tc>
        <w:tc>
          <w:tcPr>
            <w:tcW w:w="402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ЛПК «Причал»</w:t>
            </w:r>
          </w:p>
        </w:tc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Р032-0133-44/01193456</w:t>
            </w:r>
          </w:p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13.05.2024 - 13.05.2029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В р-не ул. Коммунаров, 5 напротив судомеханического завода</w:t>
            </w:r>
          </w:p>
        </w:tc>
      </w:tr>
      <w:tr>
        <w:trPr>
          <w:trHeight w:val="563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suppressLineNumbers/>
              <w:bidi w:val="0"/>
              <w:ind w:left="113" w:right="113" w:hanging="0"/>
              <w:jc w:val="left"/>
              <w:rPr/>
            </w:pPr>
            <w:r>
              <w:rPr/>
              <w:t>3-р</w:t>
            </w:r>
          </w:p>
        </w:tc>
        <w:tc>
          <w:tcPr>
            <w:tcW w:w="402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ООО «Заповедная Кострома»</w:t>
            </w:r>
          </w:p>
        </w:tc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Р032-00133-44/01021234</w:t>
            </w:r>
          </w:p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22.01.2024 — 22.01.2031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В р-не ул. Островского, 59, в р-не Фанплита</w:t>
            </w:r>
          </w:p>
        </w:tc>
      </w:tr>
      <w:tr>
        <w:trPr>
          <w:trHeight w:val="563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suppressLineNumbers/>
              <w:bidi w:val="0"/>
              <w:ind w:left="113" w:right="113" w:hanging="0"/>
              <w:jc w:val="left"/>
              <w:rPr/>
            </w:pPr>
            <w:r>
              <w:rPr/>
              <w:t>4-р</w:t>
            </w:r>
          </w:p>
        </w:tc>
        <w:tc>
          <w:tcPr>
            <w:tcW w:w="402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ООО «Волжский берег»</w:t>
            </w:r>
          </w:p>
        </w:tc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Р032-00133-44/01021194</w:t>
            </w:r>
          </w:p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17.01.2024 — 17.01.2031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В р-не ул. Островского, 65</w:t>
            </w:r>
          </w:p>
        </w:tc>
      </w:tr>
      <w:tr>
        <w:trPr>
          <w:trHeight w:val="563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suppressLineNumbers/>
              <w:bidi w:val="0"/>
              <w:ind w:left="113" w:right="113" w:hanging="0"/>
              <w:jc w:val="left"/>
              <w:rPr/>
            </w:pPr>
            <w:r>
              <w:rPr/>
              <w:t>5-р</w:t>
            </w:r>
          </w:p>
        </w:tc>
        <w:tc>
          <w:tcPr>
            <w:tcW w:w="402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ООО «Маяк»</w:t>
            </w:r>
          </w:p>
        </w:tc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Р032-00133-44/00754394</w:t>
            </w:r>
          </w:p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07.11.2023 — 07.11.2033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В районе р. Черной</w:t>
            </w:r>
          </w:p>
        </w:tc>
      </w:tr>
      <w:tr>
        <w:trPr>
          <w:trHeight w:val="563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suppressLineNumbers/>
              <w:bidi w:val="0"/>
              <w:ind w:left="113" w:right="113" w:hanging="0"/>
              <w:jc w:val="left"/>
              <w:rPr/>
            </w:pPr>
            <w:r>
              <w:rPr/>
              <w:t>6-р</w:t>
            </w:r>
          </w:p>
        </w:tc>
        <w:tc>
          <w:tcPr>
            <w:tcW w:w="402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ИП Федоров А. С.</w:t>
            </w:r>
          </w:p>
        </w:tc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44-08.01.03.002-Х-РПБВ-Т-2023-25413/00</w:t>
            </w:r>
          </w:p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24.04.2023 — 24.04.2030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В р-не ул. Островского, 59б</w:t>
            </w:r>
          </w:p>
        </w:tc>
      </w:tr>
      <w:tr>
        <w:trPr>
          <w:trHeight w:val="563" w:hRule="atLeast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suppressLineNumbers/>
              <w:bidi w:val="0"/>
              <w:ind w:left="113" w:right="113" w:hanging="0"/>
              <w:jc w:val="left"/>
              <w:rPr/>
            </w:pPr>
            <w:r>
              <w:rPr/>
              <w:t>7-р</w:t>
            </w:r>
          </w:p>
        </w:tc>
        <w:tc>
          <w:tcPr>
            <w:tcW w:w="402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Местная Религиозная Организация Православный Приход во имя Святого Апостола Андрея Первозванного города Костромы Костромской Епархии Русской Православной Церкви (Московский Патриархат)</w:t>
            </w:r>
          </w:p>
        </w:tc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44-08.01.03.002-Х-РПБВ-Т-2023-23203/00</w:t>
            </w:r>
          </w:p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06.03.2023 — 06.03.2030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bidi w:val="0"/>
              <w:jc w:val="center"/>
              <w:rPr/>
            </w:pPr>
            <w:r>
              <w:rPr/>
              <w:t>В районе пересечения ул. 1 Мая и ул. Комсомольской</w:t>
            </w:r>
          </w:p>
        </w:tc>
      </w:tr>
    </w:tbl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Autospacing="0" w:before="0" w:afterAutospacing="0" w:after="0"/>
        <w:ind w:left="0" w:right="-283" w:firstLine="737"/>
        <w:jc w:val="right"/>
        <w:outlineLvl w:val="0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»;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Autospacing="0" w:before="0" w:afterAutospacing="0" w:after="0"/>
        <w:ind w:left="0" w:right="-283" w:firstLine="737"/>
        <w:jc w:val="both"/>
        <w:outlineLvl w:val="0"/>
        <w:rPr>
          <w:highlight w:val="none"/>
          <w:shd w:fill="auto" w:val="clear"/>
        </w:rPr>
      </w:pPr>
      <w:r>
        <w:rPr>
          <w:rFonts w:eastAsia="Times New Roman" w:ascii="Times New Roman" w:hAnsi="Times New Roman"/>
          <w:sz w:val="26"/>
          <w:szCs w:val="26"/>
          <w:shd w:fill="auto" w:val="clear"/>
          <w:lang w:eastAsia="ru-RU"/>
        </w:rPr>
        <w:t xml:space="preserve">1.1.2. </w:t>
      </w:r>
      <w:r>
        <w:rPr>
          <w:rFonts w:eastAsia="Times New Roman" w:ascii="Times New Roman" w:hAnsi="Times New Roman"/>
          <w:sz w:val="26"/>
          <w:szCs w:val="26"/>
          <w:shd w:fill="auto" w:val="clear"/>
          <w:lang w:eastAsia="ru-RU"/>
        </w:rPr>
        <w:t xml:space="preserve">в </w:t>
      </w:r>
      <w:r>
        <w:rPr>
          <w:rFonts w:eastAsia="Times New Roman" w:ascii="Times New Roman" w:hAnsi="Times New Roman"/>
          <w:sz w:val="26"/>
          <w:szCs w:val="26"/>
          <w:shd w:fill="auto" w:val="clear"/>
          <w:lang w:eastAsia="ru-RU"/>
        </w:rPr>
        <w:t>подразд</w:t>
      </w:r>
      <w:r>
        <w:rPr>
          <w:rFonts w:eastAsia="Times New Roman" w:cs="Times New Roman" w:ascii="Times New Roman" w:hAnsi="Times New Roman"/>
          <w:color w:val="000000"/>
          <w:kern w:val="0"/>
          <w:sz w:val="26"/>
          <w:szCs w:val="26"/>
          <w:shd w:fill="auto" w:val="clear"/>
          <w:lang w:val="ru-RU" w:eastAsia="ru-RU" w:bidi="ar-SA"/>
        </w:rPr>
        <w:t>ел</w:t>
      </w:r>
      <w:r>
        <w:rPr>
          <w:rFonts w:eastAsia="Times New Roman" w:cs="Times New Roman" w:ascii="Times New Roman" w:hAnsi="Times New Roman"/>
          <w:color w:val="000000"/>
          <w:kern w:val="0"/>
          <w:sz w:val="26"/>
          <w:szCs w:val="26"/>
          <w:shd w:fill="auto" w:val="clear"/>
          <w:lang w:val="ru-RU" w:eastAsia="ru-RU" w:bidi="ar-SA"/>
        </w:rPr>
        <w:t>е</w:t>
      </w:r>
      <w:r>
        <w:rPr>
          <w:rFonts w:eastAsia="Times New Roman" w:cs="Times New Roman" w:ascii="Times New Roman" w:hAnsi="Times New Roman"/>
          <w:color w:val="000000"/>
          <w:kern w:val="0"/>
          <w:sz w:val="26"/>
          <w:szCs w:val="26"/>
          <w:shd w:fill="auto" w:val="clear"/>
          <w:lang w:val="ru-RU" w:eastAsia="ru-RU" w:bidi="ar-SA"/>
        </w:rPr>
        <w:t xml:space="preserve"> 2.5.3 «Природно-рекреационные территории. Развитие системы зелёных насаждений общего пользования, ограниченного пользования, специального назначения»: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Autospacing="0" w:before="0" w:afterAutospacing="0" w:after="0"/>
        <w:ind w:left="0" w:right="-283" w:firstLine="737"/>
        <w:jc w:val="both"/>
        <w:outlineLvl w:val="0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6"/>
          <w:szCs w:val="26"/>
          <w:shd w:fill="auto" w:val="clear"/>
          <w:lang w:val="ru-RU" w:eastAsia="ru-RU" w:bidi="ar-SA"/>
        </w:rPr>
        <w:t>1.1.2.1. «Перечень озелененных территорий города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Autospacing="0" w:before="0" w:afterAutospacing="0" w:after="0"/>
        <w:ind w:left="0" w:right="-283" w:firstLine="737"/>
        <w:jc w:val="right"/>
        <w:outlineLvl w:val="0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6"/>
          <w:szCs w:val="26"/>
          <w:shd w:fill="auto" w:val="clear"/>
          <w:lang w:val="ru-RU" w:eastAsia="ru-RU" w:bidi="ar-SA"/>
        </w:rPr>
        <w:t>Таблица 2.5.3.1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Autospacing="0" w:before="0" w:afterAutospacing="0" w:after="0"/>
        <w:ind w:left="0" w:right="-283" w:firstLine="737"/>
        <w:jc w:val="right"/>
        <w:outlineLvl w:val="0"/>
        <w:rPr>
          <w:highlight w:val="none"/>
          <w:shd w:fill="auto" w:val="clear"/>
        </w:rPr>
      </w:pPr>
      <w:r>
        <w:rPr>
          <w:shd w:fill="auto" w:val="clear"/>
        </w:rPr>
      </w:r>
    </w:p>
    <w:tbl>
      <w:tblPr>
        <w:tblW w:w="10080" w:type="dxa"/>
        <w:jc w:val="left"/>
        <w:tblInd w:w="-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50"/>
        <w:gridCol w:w="3150"/>
        <w:gridCol w:w="2505"/>
        <w:gridCol w:w="1335"/>
        <w:gridCol w:w="2340"/>
      </w:tblGrid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 местоположение объекта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Площадь,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uppressAutoHyphens w:val="true"/>
              <w:bidi w:val="0"/>
              <w:spacing w:lineRule="auto" w:line="240" w:beforeAutospacing="0" w:before="0" w:afterAutospacing="0" w:after="0"/>
              <w:ind w:left="113" w:right="113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"Сквер у фонтана на площади Советской" (приложение 1 -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5396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"Сквер у памятника Юрию Долгорукому на площади Советской" (приложение 2 -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2851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"Сквер Ботниковский" (приложение 3 -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1574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на площади Сусанинской" (приложение 4 -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14092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>
          <w:trHeight w:val="573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5.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"Сквер "Муравьевка" между улицей Дзержинского и улицей Нижняя Дебря" (приложение 5 -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17684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>
          <w:trHeight w:val="567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6.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по улице Дзержинского, напротив домов 17-23" (приложение 6 -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3758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7.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"Сквер на площади Октябрьской" (приложение 7 -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2780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8.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за домом 58 по улице Советской" (приложение 8 -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42786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9.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"Сквер в районе дома 96 по улице Никитской" (приложение 9 -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19412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10.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"Сквер в районе дома 98 по улице Никитской" (приложение 10 -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6867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11.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"Сквер по бульвару Петрковскому" (приложение 11 -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4882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12.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"Площадь Мира" (приложение 12 -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36348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13.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"Сквер на пересечении улицы Ивановской и улицы Крестьянской" (приложение 13 -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7458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14.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"Центральный городской парк с валом по улице Чайковского и сквер Виктора Бочкова" (приложение 14 -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58136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15.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"Площадь Широкова В.Ф." (приложение 15 -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7691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16.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"Березовая роща между улицей Никитской и площадью Конституции" (приложение 16 -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41379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17.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у проезда Никитского" (приложение 17 -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7845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18.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"Мемориальный зеленый комплекс у Вечного огня по проспекту Мира и зеленые насаждения до улицы Смирнова Юрия", (приложение 18 -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106687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19.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"Березовая роща между улицей Никитской и улицей Березовая роща" (приложение 19 -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26329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20.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"Парк за домом 42 по бульвару Петрковскому" (приложение 20 -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83113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21.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"Скверы на площади Конституции" (приложение 21 -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15624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22.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"Сквер в районе домов 19 и 21 по улице Подлипаева" (приложение 22 -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3385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23.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"Сквер Героев-Чернобыльцев" (приложение 23 -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2372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24.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"Бульвар по улице Молочная гора" (приложение 24 -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3692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25.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"Парк в районе домов 7 и 9 по проспекту Мира" (приложение 25 -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5690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26.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районе дома 58 по проспекту Мира" (приложение 26 -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3240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27.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районе дома 62 по проспекту Мира" (приложение 27 -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3970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28.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"Сквер Виталия Шабанова" (приложение 28 -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4149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29.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"Роща по улице Лавровской" (приложение 29)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ограниченного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1620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30.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районе домов 123-139 по улице Шагова" (приложение 30 -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1289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31.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"Бульвар по проспекту Мира, от площади Сусанинской до площади Мира" (приложение 31 -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6793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32.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"Сквер у Мучных рядов, от проспекта Текстильщиков до улицы Островского" (приложение 32 -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3754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33.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районе путепровода по улице Октябрьской" (приложение 33 -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ограниченного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24641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34.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районе дома 1 по улице Березовая роща" (приложение 34 -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ограниченного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27139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Подлежит исключению в случае реализации положений Генерального плана города Костромы в соответствии с функциональным зонированием</w:t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35.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районе дома 19а по улице Мясницкой" (приложение 35 -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ограниченного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2409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36.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районе дома 117 по улице Советской" (приложение 36 -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1716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37.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районе домов 2-2б по улице Гагарина" (приложение 37 -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5143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38.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"Набережная реки Волги от улицы Горной до дома 1 по улице 1 Мая" (приложение 38 -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14311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39.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"Набережная реки Волги в районе домов 1-14 по улице 1 Мая" (приложение 39 -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19849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40.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по улице Сусанина Ивана от улицы Войкова до улицы Бабушкиной Наты" (приложение 40 -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10896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41.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"Кладбище по улице Транспортной" (приложение 41 -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26916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42.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"Кладбище по улице Галичской" (приложение 42 -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286122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43.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"Липовая роща в районе путепровода по улице Советской" (приложение 43 -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9148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>
          <w:trHeight w:val="621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44.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вдоль железной дороги в микрорайоне Черноречье" (приложение 44 -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65245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45.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"Набережная реки Волги от реки Черной до железнодорожного моста" (приложение 45 -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30400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>
          <w:trHeight w:val="579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46.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на пересечении улицы Шагова и улицы Смирнова Юрия" (приложение 46 -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9782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47.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"Набережная реки Волги от автопешеходного моста до реки Черной" (приложение 47 -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7274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48.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"Набережная реки Волги от дома 13а по улице Лесной до автопешеходного моста" (приложение 48 -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13546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49.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районе дома 1 по улице Юношеской" (приложение 49 -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919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50.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"Сквер Марьинский" (приложение 50 -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4190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51.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"Бульвар по улице Центральной" (приложение 51 -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12019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52.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по улице Юбилейной" (приложение 52 -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22622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Подлежит исключению в случае реализации положений Генерального плана города Костромы в соответствии с функциональным зонированием</w:t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53.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районе дома 9 по улице Мира" (приложение 53 -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6107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54.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"Липовая роща в районе дома 48 по улице Индустриальной" (приложение 54 -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18457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55.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"Сквер в районе дома 2 по улице Красная Байдарка" (приложение 55 -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12699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56.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"Сквер в районе домов 13 и 17 микрорайона Юбилейного" (приложение 56 -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10348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57.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вдоль улицы Профсоюзной от улицы Волжской 2-й до дома 10 по улице Профсоюзной" (приложение 57 -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35437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Подлежит корректировке в случае реализации положений Генерального плана города Костромы в соответствии с функциональным зонированием</w:t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58.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"Липовая роща в районе домов 4а-8 по улице Щербины Петра" (приложение 58 -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21327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59.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"Парк Победы" (приложение 59 -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210451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60.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районе домов 8а, 10а, 20а по шоссе Кинешемскому" (приложение 60 -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11753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61.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районе Васильевских очистных сооружений" (приложение 61 -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47727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Подлежит исключению в случае реализации положений Генерального плана города Костромы в соответствии с функциональным зонированием</w:t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62.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по шоссе Васильевскому" (приложение 62 -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166003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Подлежит исключению в случае реализации положений Генерального плана города Костромы в соответствии с функциональным зонированием</w:t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63.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между Васильевскими очистными сооружениями и парком Победы" (приложение 63 -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123595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Подлежит исключению в случае реализации положений Генерального плана города Костромы в соответствии с функциональным зонированием</w:t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64.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на берегу реки Волги от дома 10а по улице Волжской 2-й до улицы Дровяной" (приложение 64 -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72082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65.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на берегу реки Волги от дома 2б по улице Дровяной до реки Алки" (приложение 65 -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52785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66.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на берегу реки Волги в районе домов 7а-8б по улице Красная Байдарка" (приложение 66 -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8045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67.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устье реки Алки" (приложение 67)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14827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68.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поселке Васильевском" (приложение 68)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3986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69.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вдоль железной дороги по улице Волжской 2-й" (приложение 69 -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38466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70.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районе дома 2в по улице Локомотивной" (приложение 70 -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15697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71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"Озелененная территория по улице Бульварной" (приложение 71 -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19823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72.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районе дома 3 микрорайона Юбилейного" (приложение 72 -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4537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>
          <w:trHeight w:val="927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73.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между железнодорожным мостом и домом 10а по улице Волжской 2-й" (приложение 73 -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65610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>
          <w:trHeight w:val="866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74.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по улице Индустриальной в районе пересечения с улицей Фестивальной" (приложение 74 -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21591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75.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"Березовая роща на пересечении улиц Усадебной и Дровяной" (приложение 75 -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2160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76.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"Сквер на улице Комсомольской" (приложение 76 -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5832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77.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"Площадь Архитектора Рыбниковой" (приложение 77 -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5669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78.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"Сквер на улице Федосеева" (приложение 78 -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3101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79.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"Сквер в районе дома 49 по улице Депутатской"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назначения, расположена в границах особо охраняемой природной территории регионального значения туристско-рекреационной местности "Парк "Губернский"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4475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80.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"Парк севернее улицы Озерной" (приложение 80 -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14317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81.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"Парк отдыха "Берендеевка"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назначения, расположена в границах особо охраняемой природной территории регионального значения туристско-рекреационной местности "Парк "Берендеевка"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854122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82.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по улице Костромской от улицы Пригородной до улицы Полевой" (приложение 82 -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9708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83.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вдоль жилой застройки по улице Рабочая Слобода" (приложение 83 -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25318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84.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"Площадь Тружеников тыла" (приложение 84 -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5442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85.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по улице Депутатской от улицы Борьбы до улицы Козуева" (приложение 85 -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2150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86.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"Сквер Трудовой Славы" (приложение 86 -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1113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87.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районе Военного городка-1" (приложение 87 -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320990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88.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по улице Линейной" (приложение 88 -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7982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89.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по улице Полянской" (приложение 89 -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733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90.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районе дома 66 по улице Козуева" (приложение 90 -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3328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91.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на пересечении улицы Ленина и улицы Беговой" (приложение 91 -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894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92.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по улице Калиновской" (приложение 92 -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7091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93.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по проспекту Рабочему" (приложение 93 -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4253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94.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по улице Ленина в районе пересечения с улицей Совхозной" (приложение 94 -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1452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95.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районе дома 135 по проспекту Мира" (приложение 95 -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2084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96.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районе дома 54 по улице Боевой" (приложение 96 -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1032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97.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районе домов 63 и 65 по улице Островского" (приложение 97 -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19552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98.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вдоль реки Костромы от автопешеходного моста до дома 14 по переулку Малому" (приложение 98 -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42640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99.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по улице Запрудня" (приложение 99 -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32444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100.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вдоль реки Белилки от автопешеходного моста до впадения в реку Кострому" (приложение 100 -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17890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101.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вдоль реки Белилки от автопешеходного моста вверх по течению" (приложение 101 -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14527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102.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"Сквер в районе улицы Ерохова" (приложение 102 -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443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103.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вдоль берега реки Волги в районе дома 13 по улице Комсомольской и дома 17 по улице 1 Мая" (приложение 103 -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17594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104.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районе Ипатьевского монастыря" (приложение 104 -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назначения, расположена в границах особо охраняемой природной территории регионального значения туристско-рекреационной местности "Костромская слобода"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714646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>
          <w:trHeight w:val="707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105.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районе улицы Пригородной" (приложение 105 -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49178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106.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"Кладбище по улице Костромской" (приложение 106 -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631956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>
          <w:trHeight w:val="665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107.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вдоль кладбища по улице Костромской" (приложение 107 -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341834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108.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вдоль реки Костромы"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назначения, расположена в границах особо охраняемой природной территории регионального значения туристско-рекреационной местности "Зона отдыха в поселке Первомайский города Костромы"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234609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>
          <w:trHeight w:val="594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109.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вдоль реки Баклановка" (приложение 109 -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157880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110.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"Стрелка между руслами реки Волги и реки Костромы" (приложение 110 -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назначения, расположена в границах особо охраняемой природной территории регионального значения туристско-рекреационной местности "Костромская слобода"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236023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>
          <w:trHeight w:val="537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111.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"Бульвар по улице Широкой" (приложение 111 -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1869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112.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"Сквер по улице Ярославской в районе улицы Садовой" (приложение 112 -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4263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113.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"Сквер и зеленые насаждения по улице Голубкова" (приложение 113 -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21661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114.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"Березовая роща по улице Беленогова Юрия" (приложение 114 -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66252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115.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"Сквер по улице Коллективной" (приложение 115 -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3137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116.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"Дубовая роща по улице Дубравной" (приложение 116 -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5810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117.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"Парк бывшей усадьбы Радьковых по улице Городской" (приложение 117 -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9046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118.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"Роща в районе пересечения улиц Ярославской и Магистральной" (приложение 118 -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315168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119.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"Роща по улице Вокзальной" (приложение 119 -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86016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120.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по улице Волгарей" (приложение 120 -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1546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121.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по улице Радиозаводской" (приложение 121 -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45595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122.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по улице Южной" (приложение 122 -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4665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123.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на пересечении улиц Заволжской и Самоковской" (приложение 123 -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8009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124.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"Зеленые насаждения по проезду Говядиново" (приложение 124)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8543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125.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"Старое кладбище по улице Городской" (приложение 125 -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14075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126.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на пересечении улиц Московской и Ярославской" (приложение 126 -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6686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127.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на левом берегу реки Ключевки" (приложение 127 -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1420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128.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"Карьер по улице Самоковской" (приложение 128 -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117539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129.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районе проезда Прямого" (приложение 129 -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13033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130.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районе улицы Нижне-Селищеской и вдоль реки Волги до улицы Вехне-Набережной" (приложение 130 -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51375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131.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по правому берегу реки Ключевки и реки Волги" (приложение 131 -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10446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132.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"Набережная вдоль реки Волги в районе улиц Верхне-Набережной и Нижне-Набережной" (приложение 132 -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6787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133.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вдоль реки Волги в районе улицы Коминтерна" (приложение 133 -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227851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134.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вдоль реки Волги в районе территории садоводческого некоммерческого товарищества "Рассвет" (приложение 134 -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30606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135.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вдоль реки Волги в районе поселка Рыбное" (приложение 135 -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324240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136.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"Кладбище по улице Ярославской" (приложение 136 -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152953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137.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районе улицы Заводской" (приложение 137 -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6147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138.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вдоль реки Волги в районе хутора Чернигино" (приложение 138 -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323185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Подлежит корректировке в случае реализации положений Генерального плана города Костромы в соответствии с функциональным зонированием</w:t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139.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по улице Городской в районе переулка Инженерного" (приложение 139 -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4555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140.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вдоль улицы Михалевской" (приложение 140 -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25356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141.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от улицы Малышковской до улицы Санаторной" (приложение 141 -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10019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142.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районе улицы Ольховой" (приложение 142 -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8039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143.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"Парк в Заволжском районе" (приложение 143 -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605979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144.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"Парк в санатории Костромском" (приложение 144 -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специального назначения, расположен в границах особо охраняемой природной территории регионального значения туристско-рекреационной местности "Парк санатория "Костромской"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147151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145.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"Зеленые насаждения в микрорайоне "Венеция" в районе реки Ключевки" (приложение 145 - не приводится)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both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11661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146.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"Сквер на пересечении улицы "Северной правды" и проезда Чернореченский" (приложение 146)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1401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147.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"Зеленые насаждения с прудом в районе дома 66 по улице Пантусовской" (приложение 147)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2823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148.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"Зеленые насаждения между домами 7 и 8 по проезду Строительному" (приложение 148)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4548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149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"Зеленые насаждения в районе дома 137 по проспекту Мира" (приложение 149)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2497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"Зеленые насаждения в районе домов 61, 63 по улице Боевой" (приложение 150)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5481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151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"Сквер между домами 11, 16 в микрорайоне Черноречье" (приложение 151)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11161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152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Зоопарк в районе улицы Ленина (приложение 152)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Озелененная территория ограниченного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562153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153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Зеленые насаждения по улице Ленина, в районе парка отдыха "Берендеевка" (приложение 153)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255951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154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Зеленые насаждения в районе проспекта Мира, напротив парка отдыха "Берендеевка" (приложение 154)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148168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155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Зеленые насаждения по улице Галичская, в районе дома 142 (приложение 155)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82127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156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Зеленые насаждения в районе дома 86 по шоссе Кинешемскому (приложение 156)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Озелененная территория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180766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Подлежит исключению в случае реализации положений Генерального плана города Костромы в соответствии с функциональным зонированием</w:t>
            </w:r>
          </w:p>
        </w:tc>
      </w:tr>
      <w:tr>
        <w:trPr/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157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Зеленые насаждения в районе улицы Соловьиной (приложение 157)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left"/>
              <w:rPr/>
            </w:pPr>
            <w:r>
              <w:rPr/>
              <w:t>Озелененная территория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  <w:t>33207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tabs>
                <w:tab w:val="clear" w:pos="720"/>
              </w:tabs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площадь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9 893 714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озеленённых территорий общего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Autospacing="0" w:after="0"/>
              <w:ind w:left="113" w:right="113" w:hanging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4 281 984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Autospacing="0" w:after="0"/>
              <w:ind w:left="113" w:right="113" w:hanging="0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</w:tr>
      <w:tr>
        <w:trPr/>
        <w:tc>
          <w:tcPr>
            <w:tcW w:w="64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озеленённых территорий специального назначения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4 993 768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озеленённых территорий ограниченного пользования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617 962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Autospacing="0" w:before="0" w:afterAutospacing="0" w:after="0"/>
        <w:ind w:left="0" w:right="-283" w:firstLine="737"/>
        <w:jc w:val="right"/>
        <w:outlineLvl w:val="0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6"/>
          <w:szCs w:val="26"/>
          <w:shd w:fill="auto" w:val="clear"/>
          <w:lang w:val="ru-RU" w:eastAsia="ru-RU" w:bidi="ar-SA"/>
        </w:rPr>
        <w:t>»;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Autospacing="0" w:before="0" w:afterAutospacing="0" w:after="0"/>
        <w:ind w:left="0" w:right="-283" w:firstLine="737"/>
        <w:jc w:val="both"/>
        <w:outlineLvl w:val="0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6"/>
          <w:szCs w:val="26"/>
          <w:shd w:fill="auto" w:val="clear"/>
          <w:lang w:val="ru-RU" w:eastAsia="ru-RU" w:bidi="ar-SA"/>
        </w:rPr>
        <w:t>1.1.2.2.</w:t>
      </w:r>
      <w:r>
        <w:rPr>
          <w:rFonts w:eastAsia="Times New Roman" w:cs="Times New Roman" w:ascii="Times New Roman" w:hAnsi="Times New Roman"/>
          <w:color w:val="000000"/>
          <w:kern w:val="0"/>
          <w:sz w:val="26"/>
          <w:szCs w:val="26"/>
          <w:shd w:fill="auto" w:val="clear"/>
          <w:lang w:val="ru-RU" w:eastAsia="ru-RU" w:bidi="ar-SA"/>
        </w:rPr>
        <w:t xml:space="preserve"> дополнить таблицей 2.5.3.3 следующего содержания: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Autospacing="0" w:before="0" w:afterAutospacing="0" w:after="0"/>
        <w:ind w:left="0" w:right="-283" w:firstLine="737"/>
        <w:jc w:val="center"/>
        <w:outlineLvl w:val="0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6"/>
          <w:szCs w:val="26"/>
          <w:shd w:fill="auto" w:val="clear"/>
          <w:lang w:val="ru-RU" w:eastAsia="ru-RU" w:bidi="ar-SA"/>
        </w:rPr>
        <w:t>«Перечень планируемых озелененных территорий общего пользования, специального назначения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Autospacing="0" w:before="0" w:afterAutospacing="0" w:after="0"/>
        <w:ind w:left="0" w:right="-283" w:firstLine="737"/>
        <w:jc w:val="right"/>
        <w:outlineLvl w:val="0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auto"/>
          <w:kern w:val="0"/>
          <w:sz w:val="24"/>
          <w:szCs w:val="26"/>
          <w:lang w:val="ru-RU" w:eastAsia="ru-RU" w:bidi="ar-SA"/>
        </w:rPr>
        <w:t>Таблица 2.5.3.3</w:t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55"/>
        <w:gridCol w:w="7035"/>
        <w:gridCol w:w="1724"/>
      </w:tblGrid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Местоположение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Ориентировочная площадь, га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общего пользования, расположенная между улицами Шарьинской и Губернской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14,14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специального назначения, расположенная между рекой Кострома и улицей Прасковьи Малининой и проспектом Речным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18,8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общего пользования, расположенная в районе проезда Речного 1-го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9,73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общего пользования, расположенная по улице Ленина (за дендропарком)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44,98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общего пользования, расположенная по улице Костромской, в районе д. 115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4,66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общего пользования, расположенная по улице Костромской, в районе д.д. 1и, 2е, 2ж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5,4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специального назначения, расположенная севернее деревни Сокрекино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13,64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общего пользования, расположенная южнее деревни Сокеркино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2,25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общего пользования, расположенная севернее поселка Гари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25,18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общего пользования, расположенная южнее поселка Гари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2,25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общего пользования, расположенная по проспекту Мира, в районе д.д. 124-126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0,73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общего пользования, расположенная в раойне площади Рыбниковой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общего пользования, расположенная по улице Полянской, в районе д.5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0,14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общего пользования, расположенная в районе нового направления улицы Шагова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2,3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общего пользования, расположенная в районе д. 219 по улице Шагова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0,38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общего пользования, расположенная в районе д. 179 по ул. Шагова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0,25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общего пользования, расположенная в районе д.д. 211-213 по ул. Юрия Смирнова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0,31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общего пользования, расположенная южнее земельного участка по улице Профсоюзной, 8а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2,79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общего пользования, расположенная в районе д.8 по улице Юбилейной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0,62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общего пользования, расположенная в районе улицы Соловьиной от улицы Черногорской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4,27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общего пользования, расположенная в районе улицы Тополиной, 7, 25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0,72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специального назначения, расположенная в поселке Красная Байдарка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2,1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общего пользования, расположенная в районе шоссе Некрасовское и улицы Береговой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6,58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общего пользования, расположенная в  районе СНТ «Струя-2»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29,15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общего пользования, расположенная в районе д.д. 25-30 по улице Магистральной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0,58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общего пользования, расположенная между улицами Заволжской и Силикатной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1,5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624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Озелененная территория общего пользования, расположенная в районе Чернигинской набережной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4,16</w:t>
            </w:r>
          </w:p>
        </w:tc>
      </w:tr>
      <w:tr>
        <w:trPr/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tLeast" w:line="100" w:beforeAutospacing="0" w:before="0" w:afterAutospacing="0" w:after="0"/>
              <w:ind w:left="737" w:right="0" w:hanging="0"/>
              <w:jc w:val="center"/>
              <w:rPr/>
            </w:pPr>
            <w:r>
              <w:rPr/>
            </w:r>
          </w:p>
        </w:tc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rPr/>
            </w:pPr>
            <w:r>
              <w:rPr/>
              <w:t>Итого,</w:t>
            </w:r>
          </w:p>
          <w:p>
            <w:pPr>
              <w:pStyle w:val="Style30"/>
              <w:widowControl w:val="false"/>
              <w:rPr/>
            </w:pPr>
            <w:r>
              <w:rPr/>
              <w:t>в том числе:</w:t>
            </w:r>
          </w:p>
          <w:p>
            <w:pPr>
              <w:pStyle w:val="Style30"/>
              <w:widowControl w:val="false"/>
              <w:rPr/>
            </w:pPr>
            <w:r>
              <w:rPr/>
              <w:t>общего пользования</w:t>
            </w:r>
          </w:p>
          <w:p>
            <w:pPr>
              <w:pStyle w:val="Style30"/>
              <w:widowControl w:val="false"/>
              <w:rPr/>
            </w:pPr>
            <w:r>
              <w:rPr/>
              <w:t>специального назначения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jc w:val="center"/>
              <w:rPr/>
            </w:pPr>
            <w:r>
              <w:rPr/>
              <w:t>198,51</w:t>
            </w:r>
          </w:p>
          <w:p>
            <w:pPr>
              <w:pStyle w:val="Style30"/>
              <w:widowControl w:val="false"/>
              <w:jc w:val="center"/>
              <w:rPr/>
            </w:pPr>
            <w:r>
              <w:rPr/>
            </w:r>
          </w:p>
          <w:p>
            <w:pPr>
              <w:pStyle w:val="Style30"/>
              <w:widowControl w:val="false"/>
              <w:jc w:val="center"/>
              <w:rPr/>
            </w:pPr>
            <w:r>
              <w:rPr/>
              <w:t>163,97</w:t>
            </w:r>
          </w:p>
          <w:p>
            <w:pPr>
              <w:pStyle w:val="Style30"/>
              <w:widowControl w:val="false"/>
              <w:jc w:val="center"/>
              <w:rPr/>
            </w:pPr>
            <w:r>
              <w:rPr/>
              <w:t>34,54</w:t>
            </w:r>
          </w:p>
        </w:tc>
      </w:tr>
    </w:tbl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Autospacing="0" w:before="0" w:afterAutospacing="0" w:after="0"/>
        <w:ind w:left="0" w:right="-283" w:firstLine="737"/>
        <w:jc w:val="right"/>
        <w:outlineLvl w:val="0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auto"/>
          <w:kern w:val="0"/>
          <w:sz w:val="24"/>
          <w:szCs w:val="26"/>
          <w:lang w:val="ru-RU" w:eastAsia="ru-RU" w:bidi="ar-SA"/>
        </w:rPr>
        <w:t>»;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Autospacing="0" w:before="0" w:afterAutospacing="0" w:after="0"/>
        <w:ind w:left="0" w:right="-283" w:firstLine="737"/>
        <w:jc w:val="both"/>
        <w:outlineLvl w:val="0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sz w:val="26"/>
          <w:szCs w:val="26"/>
          <w:lang w:val="ru-RU" w:eastAsia="ru-RU"/>
        </w:rPr>
        <w:t>1.1.3. в разделе 2.10.: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Autospacing="0" w:before="0" w:afterAutospacing="0" w:after="0"/>
        <w:ind w:left="0" w:right="-283" w:firstLine="737"/>
        <w:jc w:val="both"/>
        <w:outlineLvl w:val="0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1.1.3.1. подраздел «Учреждения образования» изложить в следующей редакции:</w:t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b/>
          <w:bCs/>
          <w:sz w:val="26"/>
          <w:szCs w:val="26"/>
        </w:rPr>
        <w:t>Учреждения образования</w:t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Образовательная система городского округа представлена следующими учреждениями:</w:t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- 61 дошкольным учреждением, </w:t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- 3 дошкольными отделениями при общеобразовательных школах</w:t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- 40 общеобразовательных учреждений,</w:t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- 4 специальных (коррекционных) общеобразовательных  учреждения,</w:t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- 1 санаторная школа,</w:t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- 1 кадетская общеобразовательная школа;</w:t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- 2 негосударственные общеобразовательные школы.</w:t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2023-2024 учебном году в школах города обучались 36656 учащихся  или около 107 уч/1000. В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>2024-2025 годах этот показатель составляет 36 799 учащихся или 112 уч/1000.</w:t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Как правило количество учащихся должно составлять порядка  110-120 уч/1000. Население города моложе трудоспособного должно быть не менее 20% от общего количества жителей, а количество учащихся 50-60%. В противном случае население города будет стремительно стареть. Количество учащихся и детей дошкольного возраста необходимо постоянно отслеживать и на этих данных делать прогнозы потребности в учреждениях дошкольного и школьного образования.</w:t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Дошкольное образование</w:t>
      </w:r>
    </w:p>
    <w:p>
      <w:pPr>
        <w:pStyle w:val="Style18"/>
        <w:spacing w:before="0" w:after="0"/>
        <w:ind w:left="0" w:right="0" w:firstLine="851"/>
        <w:jc w:val="left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Общее число мест в детских дошкольных учреждениях 16 313, в то время как число воспитанников – 14 661. Таким образом, в городе существует проблема нехватки мест в детских дошкольных учреждениях. Наполняемость учреждений составляет 119%.</w:t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Решение вопроса по удовлетворению потр</w:t>
      </w:r>
      <w:r>
        <w:rPr>
          <w:rFonts w:ascii="Times New Roman" w:hAnsi="Times New Roman"/>
          <w:sz w:val="26"/>
          <w:szCs w:val="26"/>
        </w:rPr>
        <w:t>ебности населения в услугах дошкольного образования планируется решать за счёт нового строительства в районах с наиболее перегруженными объектами дошкольного образования, сохранять резервируемые участки для строительства детских дошкольных образовательных учреждений. Перечень имеющихся дошкольных образовательных учреждений приведён в таблице 2.10.2</w:t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1.1.3.2. таблицу 2.10.2. изложить в следующей редакции:</w:t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«Перечень имеющихся дошкольных образовательных учреждений</w:t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Таблица 2.10.2.</w:t>
      </w:r>
    </w:p>
    <w:tbl>
      <w:tblPr>
        <w:tblW w:w="9645" w:type="dxa"/>
        <w:jc w:val="center"/>
        <w:tblInd w:w="0" w:type="dxa"/>
        <w:tblLayout w:type="fixed"/>
        <w:tblCellMar>
          <w:top w:w="28" w:type="dxa"/>
          <w:left w:w="108" w:type="dxa"/>
          <w:bottom w:w="28" w:type="dxa"/>
          <w:right w:w="0" w:type="dxa"/>
        </w:tblCellMar>
        <w:tblLook w:firstRow="1" w:noVBand="1" w:lastRow="0" w:firstColumn="1" w:lastColumn="0" w:noHBand="0" w:val="04a0"/>
      </w:tblPr>
      <w:tblGrid>
        <w:gridCol w:w="505"/>
        <w:gridCol w:w="3353"/>
        <w:gridCol w:w="2547"/>
        <w:gridCol w:w="1311"/>
        <w:gridCol w:w="1929"/>
      </w:tblGrid>
      <w:tr>
        <w:trPr/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Название учреждения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Адрес учреждения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Вместимость по СанПин,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чел.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Фактическая наполняемость,чел.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1»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Суслова, 16 а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305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323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автономное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 </w:t>
            </w:r>
            <w:r>
              <w:rPr/>
              <w:t>« Детский сад № 2»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Профсоюзная, 12в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342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364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4»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Венеция,11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242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322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4.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 </w:t>
            </w:r>
            <w:r>
              <w:rPr/>
              <w:t>« Детский сад № 5»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Депутатская, 24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пр-т Текстильщиков, 65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274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143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5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6»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Профсоюзная, 50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279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301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6.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«Детский сад № 7»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Запрудня, 13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188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172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7.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автономное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8»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Б-р Маршала Василевского, 4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366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378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8.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автономное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9»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Санаторная, 21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302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215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9.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10»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Крупская, 9/5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Школьный пр-д, 7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225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170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10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11»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Китицинская,15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280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237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11.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12»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пос.Учхоза Костромской, 13а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Верхнее-Селищинская, 33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140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166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12.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 « Центр развития ребенка - Детский сад № 13»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Березовая роща, 19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203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187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13.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14»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7-ая Рабочая, 41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1-ая Рабочая, 19а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7-ая Рабочая, 43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296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209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14.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16»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Лагерная, 8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>
                <w:highlight w:val="none"/>
              </w:rPr>
            </w:pPr>
            <w:r>
              <w:rPr/>
              <w:t>ул. Советская, 91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б-р Петрковского, 24а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312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177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15.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17»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>
                <w:highlight w:val="none"/>
              </w:rPr>
            </w:pPr>
            <w:r>
              <w:rPr/>
              <w:t>Ул. Шарьинская,45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Речной пр-т, 145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410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407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16.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20»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Борьбы, 35 а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110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130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17.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24»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>
                <w:highlight w:val="none"/>
              </w:rPr>
            </w:pPr>
            <w:r>
              <w:rPr/>
              <w:t>ул. Мясницкая, 42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>
                <w:highlight w:val="none"/>
              </w:rPr>
            </w:pPr>
            <w:r>
              <w:rPr/>
              <w:t>Ул. Князева,15а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>
                <w:highlight w:val="none"/>
              </w:rPr>
            </w:pPr>
            <w:r>
              <w:rPr/>
              <w:t>Пр0т Мира,16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306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261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18.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26»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Димитрова, 5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пр-д Новоселов, 2/13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Дружбы, 27/11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408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310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19.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27»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>
                <w:highlight w:val="none"/>
              </w:rPr>
            </w:pPr>
            <w:r>
              <w:rPr/>
              <w:t>ул. Почтовая, 8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Почтовая,10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301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283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20.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28»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пр-т Мира, 75а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>
                <w:highlight w:val="none"/>
              </w:rPr>
            </w:pPr>
            <w:r>
              <w:rPr/>
              <w:t>пр-кт Мира, 58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>
                <w:highlight w:val="none"/>
              </w:rPr>
            </w:pPr>
            <w:r>
              <w:rPr/>
              <w:t>Ул. Маякосвкого,12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Ленина,78 (закрыто на ремонт)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400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402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21.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30»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м-н Черноречье, 10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200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232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22.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34»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>
                <w:highlight w:val="none"/>
              </w:rPr>
            </w:pPr>
            <w:r>
              <w:rPr/>
              <w:t>пр-т Мира, 137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Боевая,65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322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282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23.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 «Центр развития ребенка – Детский сад № 35»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м-н Черноречье, 31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135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163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24.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36»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пос. Новый, 12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252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272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25.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 «Центр развития ребенка – детский сад № 38»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Свердлова, 51 А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252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253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26.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39»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Никитская, 106 Б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241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179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27.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40»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Ленина, 146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179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181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28.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41»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Почтовая,12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Проселочная, 26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Проселочная, 24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241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204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29.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42»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Осыпная, 14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Осыпная, 15А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222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194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30.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43»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Новый быт, 4А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пр-т Рабочий, 46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174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154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31.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44»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Смоленская 23А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Мясницкая, 11А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212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156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32.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48»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Сутырина, 9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331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313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33.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49»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2-ой Сосновый пр-д, 18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163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121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34.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51»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м-н Юбилейный, 5А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193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161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35.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54»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Силикатная, 20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Беленогова, 11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177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131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36.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 « Детский сад № 55»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м-н Давыдовский-1, 22а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229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202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37.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56»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м-н Якиманиха, 21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м-н Якиманиха, 23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319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337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38.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58»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м-н Юбилейный, 23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272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240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39.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59»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>
                <w:highlight w:val="none"/>
              </w:rPr>
            </w:pPr>
            <w:r>
              <w:rPr/>
              <w:t>м-н Давыдовский-1, 20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М-н давыдовский 1-10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507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428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40.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61»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Волжская, 8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174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96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41.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62»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м-н Паново, 10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257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182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42.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 </w:t>
            </w:r>
            <w:r>
              <w:rPr/>
              <w:t>« Детский сад № 63»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м-н Паново, 28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м-н Паново, 17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327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281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43.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64»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пр-д Глазковский, 4 А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2-я Дорожная, 4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240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321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44.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 «Центр развития ребенка - Детский сад № 67»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Шагова, 207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Шагова, 205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290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386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45.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69»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Профсоюзная, 22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289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310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46.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70»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Южная, 2а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156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75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47.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71»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м-н Давыдовский-2, 65 А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308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306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48.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 «Центр развития ребенка - Детский сад № 73»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Боровая, 10г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289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240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49.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74»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Никитская, 130 А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Никитская, 122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325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211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50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 «Центр развития ребенка - Детский сад № 75»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м-н Давыдовский-2, 63 А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274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304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51.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автономное дошкольное образовательное учреждение города Костромы «Детский сад № 76»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м-н Паново, 28 А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265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325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52.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 «Центр развития ребенка – детский сад № 77»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м-н Давыдовский-2, 43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253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271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53.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78»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Задорина, 10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295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293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54.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79»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Березовый пр-д, 6 А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385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266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55.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80»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Скворцова,24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264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229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56.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82»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Привокзальная, 9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Привокзальная, 9А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Привокзальная, 7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167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129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57.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84»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Линейная, 5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Сплавщиков,4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177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175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58.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86»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Терешковой, 27А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Терешковой, 47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236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152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59.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 Детский сад № 88»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Костромская, 88А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158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173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60.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 « Детский сад № 92»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Козуева, 10 А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Депутатская, 64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233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189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61.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Муниципальное бюджетное дошкольное образовательное учреждение города Костромы « Детский сад № 100»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ул.Терешковой, 11А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Терешковой,11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220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161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62.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«Дошкольное отделение» города Костромы МБОУ СОШ № 10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ул.Просвещения, 22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ул.Береговая, 18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145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97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63.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«Дошкольное отделение» города Костромы МБОУ СОШ № 13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ул.Партизанская, 37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50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34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64.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«Дошкольное отделение» города Костромы МБОУ СОШ № 27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ул. Задорина, 37</w:t>
            </w:r>
          </w:p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Рабочий пр-т, 71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226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195</w:t>
            </w:r>
          </w:p>
        </w:tc>
      </w:tr>
      <w:tr>
        <w:trPr/>
        <w:tc>
          <w:tcPr>
            <w:tcW w:w="505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ИТОГО</w:t>
            </w:r>
          </w:p>
        </w:tc>
        <w:tc>
          <w:tcPr>
            <w:tcW w:w="254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16313</w:t>
            </w:r>
          </w:p>
        </w:tc>
        <w:tc>
          <w:tcPr>
            <w:tcW w:w="1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right w:w="108" w:type="dxa"/>
            </w:tcMar>
            <w:vAlign w:val="center"/>
          </w:tcPr>
          <w:p>
            <w:pPr>
              <w:pStyle w:val="Style30"/>
              <w:widowControl w:val="false"/>
              <w:spacing w:before="0" w:after="283"/>
              <w:ind w:left="0" w:right="0" w:hanging="0"/>
              <w:jc w:val="left"/>
              <w:rPr/>
            </w:pPr>
            <w:r>
              <w:rPr/>
              <w:t>14 661</w:t>
            </w:r>
          </w:p>
        </w:tc>
      </w:tr>
    </w:tbl>
    <w:p>
      <w:pPr>
        <w:pStyle w:val="Normal"/>
        <w:tabs>
          <w:tab w:val="clear" w:pos="720"/>
          <w:tab w:val="left" w:pos="8205" w:leader="none"/>
        </w:tabs>
        <w:spacing w:before="0"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»;</w:t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1.1.3.3. подраздел «Общеобразовательные учреждения» изложить в следующей редакции:</w:t>
      </w:r>
    </w:p>
    <w:p>
      <w:pPr>
        <w:pStyle w:val="Style18"/>
        <w:ind w:left="0" w:right="0" w:hanging="0"/>
        <w:jc w:val="center"/>
        <w:rPr>
          <w:rFonts w:ascii="Times New Roman" w:hAnsi="Times New Roman" w:eastAsia="Calibri" w:cs="Times New Roman" w:eastAsiaTheme="minorHAnsi"/>
          <w:b/>
          <w:bCs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b/>
          <w:bCs/>
          <w:color w:val="auto"/>
          <w:kern w:val="0"/>
          <w:sz w:val="26"/>
          <w:szCs w:val="26"/>
          <w:lang w:val="ru-RU" w:eastAsia="en-US" w:bidi="ar-SA"/>
        </w:rPr>
        <w:t>«Общеобразовательные учреждения</w:t>
      </w:r>
    </w:p>
    <w:p>
      <w:pPr>
        <w:pStyle w:val="Style18"/>
        <w:ind w:left="0" w:right="0" w:firstLine="851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Суммарное количество мест в муниципальных общеобразовательных учебных учреждениях – 30 714 , в то время как обучаются 36799 учащихся. Существует дефицит мест при наполняемости 120 %.</w:t>
      </w:r>
    </w:p>
    <w:p>
      <w:pPr>
        <w:pStyle w:val="Style18"/>
        <w:ind w:left="0" w:right="0" w:firstLine="851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Среди всех общеобразовательных учреждений большую часть составляют средние общеобразовательные школы – их количество 39. В данных учреждениях реализуются программы углубленного изучения предметов. На третьем уровне образования открыты профильные классы различными профилями обучения (технологический, естественно-научный, гуманитарный, социально-экономический, универсальный). Созданы благоприятные условия для реализации адаптированных программ для детей с ограниченными возможностями здоровья.</w:t>
      </w:r>
    </w:p>
    <w:p>
      <w:pPr>
        <w:pStyle w:val="Style18"/>
        <w:ind w:left="0" w:right="0" w:firstLine="851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Дополнительно существуют два частных образовательных учреждения – Христианская гимназия «Свет миру» и частная гимназия «Свет равноапостольной княгини Ольги», которые помимо реализации обязательных образовательных программ обучают специальным предметам: христианская этика, религиоведение и т.д.</w:t>
      </w:r>
    </w:p>
    <w:p>
      <w:pPr>
        <w:pStyle w:val="Style18"/>
        <w:ind w:left="0" w:right="0" w:firstLine="851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 xml:space="preserve">Также, в городе  функционирует вечерняя (сменная) общеобразовательная школа, где проходят обучение 188 человек различного возраста с 15 до 45 лет.      </w:t>
      </w:r>
    </w:p>
    <w:p>
      <w:pPr>
        <w:pStyle w:val="Style18"/>
        <w:ind w:left="0" w:right="0" w:firstLine="851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Все общеобразовательные учреждения обеспечены скоростным доступом во всемирную сеть Интернет, во всех учреждениях созданы локальные сети, ведётся постепенное внедрение различных технологий обучения, в том числе дистанционных.</w:t>
      </w:r>
    </w:p>
    <w:p>
      <w:pPr>
        <w:pStyle w:val="Style18"/>
        <w:ind w:left="0" w:right="0" w:firstLine="851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На территории городского округа действует национальная программа «Образование».</w:t>
      </w:r>
    </w:p>
    <w:p>
      <w:pPr>
        <w:pStyle w:val="Style18"/>
        <w:ind w:left="0" w:right="0" w:firstLine="851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На территории города действует ведомственная муниципальная образовательная программа «Развитие системы образования», цель которой создание условий для устойчивого функционирования и развития системы образования в городе, ориентированной на формирование личности в соответствии с современным воспитательным идеалом. Перечень муниципальных общеобразовательных учреждений приведён в таблице 2.10.3.»;</w:t>
      </w:r>
    </w:p>
    <w:p>
      <w:pPr>
        <w:pStyle w:val="Style18"/>
        <w:ind w:left="0" w:right="0" w:firstLine="851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1.1.3.4. таблицу 2.10.3. изложить в следующей редакции:</w:t>
      </w:r>
    </w:p>
    <w:p>
      <w:pPr>
        <w:pStyle w:val="Style18"/>
        <w:ind w:left="0" w:right="0" w:hanging="0"/>
        <w:jc w:val="left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«Перечень муниципальных общеобразовательных учреждений</w:t>
      </w:r>
    </w:p>
    <w:p>
      <w:pPr>
        <w:pStyle w:val="Style18"/>
        <w:ind w:left="0" w:right="0" w:hanging="0"/>
        <w:jc w:val="right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Таблица 2.10.3</w:t>
      </w:r>
    </w:p>
    <w:tbl>
      <w:tblPr>
        <w:tblW w:w="10397" w:type="dxa"/>
        <w:jc w:val="left"/>
        <w:tblInd w:w="-1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46"/>
        <w:gridCol w:w="6679"/>
        <w:gridCol w:w="1488"/>
        <w:gridCol w:w="1483"/>
      </w:tblGrid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ind w:left="0" w:right="0" w:hanging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№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ind w:left="0" w:right="0" w:hanging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п/п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Наименование учреждения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Вместимость по проекту, чел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Численность учащихся на 01.09.2024, чел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«Гимназия № 1»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500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539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2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1»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980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818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3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3 с углублённым изучением отдельных предметов»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500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474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4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4»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980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953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5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5»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500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542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6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6»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800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819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7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«№ 7»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500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985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8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8»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980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1118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9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9»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825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768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10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10»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600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349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11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11»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980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1238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12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13»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450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675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13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14 имени выдающегося земляка, главного маршала авиации, дважды Героя Советского Союза А.А. Новикова»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315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569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14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общеобразовательное учреждение «Гимназия № 15»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980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1219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15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«Лицей № 17»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980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1339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16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18»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700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1019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17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19»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350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483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18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«Лицей № 20»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980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971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19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21»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980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1311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20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22»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890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930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21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23»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350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496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22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24»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890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1404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23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«Гимназия № 25»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980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1277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24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26 имени Героя Советского Союза В.В. Князева»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600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844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25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27»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700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923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26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«Гимназия № 28»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570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503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27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29»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570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618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28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30»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525+300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1234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29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31»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350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733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30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«Лицей № 32»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750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958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31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«Гимназия № 33»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1840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2393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32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«Лицей № 34»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900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1057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33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35»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980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965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34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36»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840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591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35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37»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800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704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36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38»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700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899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37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«Лицей № 41»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1200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1790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38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«Вечерняя (сменная) общеобразовательная школа № 2»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200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188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39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«Средняя общеобразовательная школа № 44»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1000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1109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eastAsiaTheme="minorHAnsi" w:ascii="Times New Roman" w:hAnsi="Times New Roman"/>
                <w:color w:val="auto"/>
                <w:kern w:val="0"/>
                <w:sz w:val="26"/>
                <w:szCs w:val="26"/>
                <w:lang w:val="ru-RU" w:eastAsia="en-US" w:bidi="ar-SA"/>
              </w:rPr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40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Муниципальное бюджетное общеобразовательное учреждение «Центр образования «Волжский»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900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994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eastAsiaTheme="minorHAnsi" w:ascii="Times New Roman" w:hAnsi="Times New Roman"/>
                <w:color w:val="auto"/>
                <w:kern w:val="0"/>
                <w:sz w:val="26"/>
                <w:szCs w:val="26"/>
                <w:lang w:val="ru-RU" w:eastAsia="en-US" w:bidi="ar-SA"/>
              </w:rPr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итого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30714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205" w:leader="none"/>
              </w:tabs>
              <w:spacing w:before="0" w:after="16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36799</w:t>
            </w:r>
          </w:p>
        </w:tc>
      </w:tr>
    </w:tbl>
    <w:p>
      <w:pPr>
        <w:pStyle w:val="Normal"/>
        <w:tabs>
          <w:tab w:val="clear" w:pos="720"/>
          <w:tab w:val="left" w:pos="8205" w:leader="none"/>
        </w:tabs>
        <w:spacing w:before="0"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»;</w:t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both"/>
        <w:rPr/>
      </w:pPr>
      <w:r>
        <w:rPr>
          <w:rFonts w:eastAsia="Calibri" w:cs="Times New Roman" w:ascii="Times New Roman" w:hAnsi="Times New Roman" w:eastAsiaTheme="minorHAnsi"/>
          <w:color w:val="000000"/>
          <w:kern w:val="0"/>
          <w:sz w:val="26"/>
          <w:szCs w:val="26"/>
          <w:shd w:fill="auto" w:val="clear"/>
          <w:lang w:val="ru-RU" w:eastAsia="en-US" w:bidi="ar-SA"/>
        </w:rPr>
        <w:t>1.1.3.5. п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одраздел «Дополнительное образование» изложить в следующей редакции:</w:t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center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«</w:t>
      </w:r>
      <w:r>
        <w:rPr>
          <w:rFonts w:eastAsia="Calibri" w:cs="Times New Roman" w:ascii="Times New Roman" w:hAnsi="Times New Roman" w:eastAsiaTheme="minorHAnsi"/>
          <w:b/>
          <w:color w:val="auto"/>
          <w:kern w:val="0"/>
          <w:sz w:val="26"/>
          <w:szCs w:val="26"/>
          <w:lang w:val="ru-RU" w:eastAsia="en-US" w:bidi="ar-SA"/>
        </w:rPr>
        <w:t>Дополнительное образование</w:t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 xml:space="preserve">Учреждения дополнительного образования способствуют развитию склонностей, способностей и интересов социального и профессионального самоопределения молодёжи. Около 68% детей в возрасте 5-18 лет получают в той или иной форме услуги дополнительного образования. Поскольку охват детей услугами дополнительного образования неполный, то существует возможность для дальнейшего увеличения количества учреждений дополнительного образования. Всего муниципальных учреждений дополнительного образования насчитывается </w:t>
      </w:r>
      <w:r>
        <w:rPr>
          <w:rFonts w:eastAsia="Calibri" w:cs="Times New Roman" w:ascii="Times New Roman" w:hAnsi="Times New Roman" w:eastAsiaTheme="minorHAnsi"/>
          <w:color w:val="000000"/>
          <w:kern w:val="0"/>
          <w:sz w:val="26"/>
          <w:szCs w:val="26"/>
          <w:shd w:fill="auto" w:val="clear"/>
          <w:lang w:val="ru-RU" w:eastAsia="en-US" w:bidi="ar-SA"/>
        </w:rPr>
        <w:t>26, из них 9 в сфере образования, 9 в сфере культуры, 8 в области спорта, также суще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ствуют 2 учреждения дополнительного профессионального образования (Центр профессиональной подготовки, переподготовки и повышения квалификации работников промышленности и жилищно-коммунального хозяйства и Костромской областной институт развития образования).</w:t>
      </w:r>
    </w:p>
    <w:p>
      <w:pPr>
        <w:pStyle w:val="Normal"/>
        <w:ind w:firstLine="709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Ежегодно, в период летней оздоровительной кампании оздоровительные учреждения с дневным пребыванием детей организуются на базах образовательных учреждений (школы и учреждения дополнительного образования), подведомственных Комитету образования, культуры и спорта Администрации города Костромы.  Перепрофилирование данные учреждений не предполагается. Список учреждений дополнительного образования, на базе которых возможна организация оздоровительных учреждений с дневным пребыванием детей представлен в Таблицах 2.10.3-1, 2.10.3-2, 2.10.3-3.</w:t>
      </w:r>
    </w:p>
    <w:p>
      <w:pPr>
        <w:pStyle w:val="Normal"/>
        <w:spacing w:before="0" w:after="0"/>
        <w:ind w:firstLine="709"/>
        <w:jc w:val="right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Таблица 2.10.3-1</w:t>
      </w:r>
    </w:p>
    <w:p>
      <w:pPr>
        <w:pStyle w:val="Normal"/>
        <w:jc w:val="center"/>
        <w:rPr>
          <w:rFonts w:ascii="Times New Roman" w:hAnsi="Times New Roman" w:eastAsia="Calibri" w:cs="Times New Roman" w:eastAsiaTheme="minorHAnsi"/>
          <w:b/>
          <w:bCs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b/>
          <w:bCs/>
          <w:color w:val="auto"/>
          <w:kern w:val="0"/>
          <w:sz w:val="26"/>
          <w:szCs w:val="26"/>
          <w:lang w:val="ru-RU" w:eastAsia="en-US" w:bidi="ar-SA"/>
        </w:rPr>
        <w:t>Учреждения дополнительного образования сферы «спорт»</w:t>
      </w:r>
    </w:p>
    <w:tbl>
      <w:tblPr>
        <w:tblW w:w="9975" w:type="dxa"/>
        <w:jc w:val="left"/>
        <w:tblInd w:w="7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75"/>
        <w:gridCol w:w="5815"/>
        <w:gridCol w:w="3485"/>
      </w:tblGrid>
      <w:tr>
        <w:trPr>
          <w:trHeight w:val="1134" w:hRule="atLeast"/>
          <w:cantSplit w:val="true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 xml:space="preserve">№ </w:t>
            </w:r>
            <w:r>
              <w:rPr>
                <w:rFonts w:cs="Times New Roman" w:ascii="Times New Roman" w:hAnsi="Times New Roman"/>
                <w:b/>
              </w:rPr>
              <w:t>п/п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/>
                <w:bCs/>
                <w:sz w:val="26"/>
                <w:szCs w:val="26"/>
              </w:rPr>
              <w:t>Юридический адрес</w:t>
            </w:r>
          </w:p>
        </w:tc>
      </w:tr>
      <w:tr>
        <w:trPr>
          <w:trHeight w:val="1134" w:hRule="atLeast"/>
          <w:cantSplit w:val="true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Муниципальное бюджетное учреждение дополнительного образования города Костромы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 xml:space="preserve"> «Спортивная школа № 1»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Cs/>
                <w:sz w:val="26"/>
                <w:szCs w:val="26"/>
              </w:rPr>
              <w:t>156009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Cs/>
                <w:sz w:val="26"/>
                <w:szCs w:val="26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Cs/>
                <w:sz w:val="26"/>
                <w:szCs w:val="26"/>
              </w:rPr>
              <w:t>ул. Пятницкая, 30</w:t>
            </w:r>
          </w:p>
        </w:tc>
      </w:tr>
      <w:tr>
        <w:trPr>
          <w:trHeight w:val="1134" w:hRule="atLeast"/>
          <w:cantSplit w:val="true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Муниципальное бюджетное учреждение дополнительного образования города Костромы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 xml:space="preserve"> «Спортивная школа № 2»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Cs/>
                <w:sz w:val="26"/>
                <w:szCs w:val="26"/>
              </w:rPr>
              <w:t>156002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Cs/>
                <w:sz w:val="26"/>
                <w:szCs w:val="26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Cs/>
                <w:sz w:val="26"/>
                <w:szCs w:val="26"/>
              </w:rPr>
              <w:t>ул. Симановского, 37/42</w:t>
            </w:r>
          </w:p>
        </w:tc>
      </w:tr>
      <w:tr>
        <w:trPr>
          <w:trHeight w:val="1248" w:hRule="atLeast"/>
          <w:cantSplit w:val="true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Муниципальное бюджетное учреждение дополнительного образования города Костромы 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«Спортивная школа № 3»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Cs/>
                <w:sz w:val="26"/>
                <w:szCs w:val="26"/>
              </w:rPr>
              <w:t>156005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Cs/>
                <w:sz w:val="26"/>
                <w:szCs w:val="26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Cs/>
                <w:sz w:val="26"/>
                <w:szCs w:val="26"/>
              </w:rPr>
              <w:t>ул. Советская, 118б</w:t>
            </w:r>
          </w:p>
        </w:tc>
      </w:tr>
      <w:tr>
        <w:trPr>
          <w:trHeight w:val="1248" w:hRule="atLeast"/>
          <w:cantSplit w:val="true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Муниципальное бюджетное учреждение дополнительного образования города Костромы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 xml:space="preserve"> «Спортивная школа № 4»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Cs/>
                <w:sz w:val="26"/>
                <w:szCs w:val="26"/>
              </w:rPr>
              <w:t>156002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Cs/>
                <w:sz w:val="26"/>
                <w:szCs w:val="26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Cs/>
                <w:sz w:val="26"/>
                <w:szCs w:val="26"/>
              </w:rPr>
              <w:t>ул. Спасокукоцкого, 42</w:t>
            </w:r>
          </w:p>
        </w:tc>
      </w:tr>
      <w:tr>
        <w:trPr>
          <w:trHeight w:val="1134" w:hRule="atLeast"/>
          <w:cantSplit w:val="true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Муниципальное бюджетное учреждение дополнительного образования города Костромы 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«Спортивная школа № 5 имени выдающегося земляка Анатолия Николаевича Герасимова»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Cs/>
                <w:sz w:val="26"/>
                <w:szCs w:val="26"/>
              </w:rPr>
              <w:t>156001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Cs/>
                <w:sz w:val="26"/>
                <w:szCs w:val="26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Cs/>
                <w:sz w:val="26"/>
                <w:szCs w:val="26"/>
              </w:rPr>
              <w:t>ул. Беленогова, 23а</w:t>
            </w:r>
          </w:p>
        </w:tc>
      </w:tr>
      <w:tr>
        <w:trPr>
          <w:trHeight w:val="1134" w:hRule="atLeast"/>
          <w:cantSplit w:val="true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Муниципальное автономное учреждение дополнительного образования города Костромы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 xml:space="preserve"> «Спортивная школа № 6»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Cs/>
                <w:sz w:val="26"/>
                <w:szCs w:val="26"/>
              </w:rPr>
              <w:t>156007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Cs/>
                <w:sz w:val="26"/>
                <w:szCs w:val="26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Cs/>
                <w:sz w:val="26"/>
                <w:szCs w:val="26"/>
              </w:rPr>
              <w:t>м-н Якиманиха, 19</w:t>
            </w:r>
          </w:p>
        </w:tc>
      </w:tr>
      <w:tr>
        <w:trPr>
          <w:trHeight w:val="1134" w:hRule="atLeast"/>
          <w:cantSplit w:val="true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Муниципальное бюджетное учреждение дополнительного образования города Костромы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 xml:space="preserve"> «Спортивная школа № 7»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Cs/>
                <w:sz w:val="26"/>
                <w:szCs w:val="26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Cs/>
                <w:sz w:val="26"/>
                <w:szCs w:val="26"/>
              </w:rPr>
              <w:t>ул. Бульварная, 6</w:t>
            </w:r>
          </w:p>
        </w:tc>
      </w:tr>
      <w:tr>
        <w:trPr>
          <w:trHeight w:val="1134" w:hRule="atLeast"/>
          <w:cantSplit w:val="true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Муниципальное бюджетное учреждение дополнительного образования города Костромы 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«Спортивная школа № 10»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Cs/>
                <w:sz w:val="26"/>
                <w:szCs w:val="26"/>
              </w:rPr>
              <w:t>156005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Cs/>
                <w:sz w:val="26"/>
                <w:szCs w:val="26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Cs/>
                <w:sz w:val="26"/>
                <w:szCs w:val="26"/>
              </w:rPr>
              <w:t>ул. Советская, 55а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Arial" w:cs="Times New Roman" w:eastAsiaTheme="minorEastAsia"/>
                <w:bCs/>
              </w:rPr>
            </w:pPr>
            <w:r>
              <w:rPr>
                <w:rFonts w:eastAsia="Arial" w:cs="Times New Roman" w:eastAsiaTheme="minorEastAsia" w:ascii="Times New Roman" w:hAnsi="Times New Roman"/>
                <w:bCs/>
              </w:rPr>
            </w:r>
          </w:p>
        </w:tc>
      </w:tr>
    </w:tbl>
    <w:p>
      <w:pPr>
        <w:pStyle w:val="Normal"/>
        <w:jc w:val="center"/>
        <w:rPr>
          <w:rFonts w:ascii="Times New Roman" w:hAnsi="Times New Roman" w:eastAsia="Calibri" w:cs="Times New Roman" w:eastAsiaTheme="minorHAnsi"/>
          <w:b/>
          <w:bCs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b/>
          <w:bCs/>
          <w:color w:val="auto"/>
          <w:kern w:val="0"/>
          <w:sz w:val="26"/>
          <w:szCs w:val="26"/>
          <w:lang w:val="ru-RU" w:eastAsia="en-US" w:bidi="ar-SA"/>
        </w:rPr>
        <w:t>Учреждения дополнительного образования сферы «культура»</w:t>
      </w:r>
    </w:p>
    <w:p>
      <w:pPr>
        <w:pStyle w:val="Normal"/>
        <w:spacing w:before="0" w:after="0"/>
        <w:ind w:firstLine="709"/>
        <w:jc w:val="right"/>
        <w:rPr>
          <w:rFonts w:ascii="Times New Roman" w:hAnsi="Times New Roman" w:eastAsia="Calibri" w:cs="Times New Roman" w:eastAsiaTheme="minorHAnsi"/>
          <w:b w:val="false"/>
          <w:bCs w:val="false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b w:val="false"/>
          <w:bCs w:val="false"/>
          <w:color w:val="000000" w:themeColor="text1"/>
          <w:kern w:val="0"/>
          <w:sz w:val="26"/>
          <w:szCs w:val="26"/>
          <w:lang w:val="ru-RU" w:eastAsia="en-US" w:bidi="ar-SA"/>
        </w:rPr>
        <w:t>Таблица 2.10.3-2</w:t>
      </w:r>
    </w:p>
    <w:tbl>
      <w:tblPr>
        <w:tblW w:w="9975" w:type="dxa"/>
        <w:jc w:val="left"/>
        <w:tblInd w:w="7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75"/>
        <w:gridCol w:w="5817"/>
        <w:gridCol w:w="3483"/>
      </w:tblGrid>
      <w:tr>
        <w:trPr>
          <w:trHeight w:val="560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Arial" w:cs="Times New Roman" w:eastAsiaTheme="minorEastAsia"/>
                <w:b/>
              </w:rPr>
            </w:pPr>
            <w:r>
              <w:rPr>
                <w:rFonts w:eastAsia="Arial" w:cs="Times New Roman" w:ascii="Times New Roman" w:hAnsi="Times New Roman" w:eastAsiaTheme="minorEastAsia"/>
                <w:b/>
              </w:rPr>
              <w:t xml:space="preserve">№ </w:t>
            </w:r>
            <w:r>
              <w:rPr>
                <w:rFonts w:eastAsia="Arial" w:cs="Times New Roman" w:ascii="Times New Roman" w:hAnsi="Times New Roman" w:eastAsiaTheme="minorEastAsia"/>
                <w:b/>
              </w:rPr>
              <w:t>п/п</w:t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b/>
                <w:bCs/>
                <w:sz w:val="26"/>
                <w:szCs w:val="26"/>
              </w:rPr>
              <w:t>Юридический адрес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Arial" w:cs="Times New Roman" w:eastAsiaTheme="minorEastAsia"/>
                <w:b/>
              </w:rPr>
            </w:pPr>
            <w:r>
              <w:rPr>
                <w:rFonts w:eastAsia="Arial" w:cs="Times New Roman" w:eastAsiaTheme="minorEastAsia" w:ascii="Times New Roman" w:hAnsi="Times New Roman"/>
                <w:b/>
              </w:rPr>
            </w:r>
          </w:p>
        </w:tc>
      </w:tr>
      <w:tr>
        <w:trPr>
          <w:trHeight w:val="1609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Муниципальное бюджетное учреждение дополнительного образования города Костромы 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«Детская музыкальная школа № 1 им. М.М. Ипполитова-Иванова»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156000,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ул. Симановского, 24/26 лит.Б</w:t>
            </w:r>
          </w:p>
        </w:tc>
      </w:tr>
      <w:tr>
        <w:trPr>
          <w:trHeight w:val="113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Муниципальное бюджетное учреждение дополнительного образования города Костромы 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«Детская школа искусств № 2»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156022,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 xml:space="preserve"> </w:t>
            </w: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ул. Голубкова,12</w:t>
            </w:r>
          </w:p>
        </w:tc>
      </w:tr>
      <w:tr>
        <w:trPr>
          <w:trHeight w:val="113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Муниципальное бюджетное учреждение дополнительного образования города Костромы 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«Детская музыкальная школа № 3»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156000,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 xml:space="preserve"> </w:t>
            </w: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ул. Ивановская, 22</w:t>
            </w:r>
          </w:p>
        </w:tc>
      </w:tr>
      <w:tr>
        <w:trPr>
          <w:trHeight w:val="114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Муниципальное бюджетное учреждение дополнительного образования города Костромы 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«Детская школа искусств № 4»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156002,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 xml:space="preserve"> </w:t>
            </w: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ул. Борьбы, 52</w:t>
            </w:r>
          </w:p>
        </w:tc>
      </w:tr>
      <w:tr>
        <w:trPr>
          <w:trHeight w:val="113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Муниципальное бюджетное учреждение дополнительного образования города Костромы 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«Детская школа искусств № 6»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156003,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Речной пр-т, 72</w:t>
            </w:r>
          </w:p>
        </w:tc>
      </w:tr>
      <w:tr>
        <w:trPr>
          <w:trHeight w:val="113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Муниципальное бюджетное учреждение дополнительного образования города Костромы 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«Детская школа искусств № 8»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156000,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 xml:space="preserve"> </w:t>
            </w: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ул. Чайковского,5</w:t>
            </w:r>
          </w:p>
        </w:tc>
      </w:tr>
      <w:tr>
        <w:trPr>
          <w:trHeight w:val="1182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Муниципальное бюджетное учреждение дополнительного образования города Костромы 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«Детская музыкальная школа № 9»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156014,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 xml:space="preserve"> </w:t>
            </w: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ул. Новоселов, 16</w:t>
            </w:r>
          </w:p>
        </w:tc>
      </w:tr>
      <w:tr>
        <w:trPr>
          <w:trHeight w:val="113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Муниципальное бюджетное учреждение дополнительного образования города Костромы 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«Детская художественная школа № 1 им. Н.П. Шлеина»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156000,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ул. Нижняя Дебря 8/18</w:t>
            </w:r>
          </w:p>
        </w:tc>
      </w:tr>
      <w:tr>
        <w:trPr>
          <w:trHeight w:val="1096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Муниципальное бюджетное учреждение дополнительного образования города Костромы 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«Детская художественная школа № 2 им. Н.Н. Купреянова»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156001,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Arial" w:cs="Times New Roman" w:ascii="Times New Roman" w:hAnsi="Times New Roman" w:eastAsiaTheme="minorEastAsia"/>
                <w:sz w:val="26"/>
                <w:szCs w:val="26"/>
              </w:rPr>
              <w:t>ул. Городская, 25</w:t>
            </w:r>
          </w:p>
        </w:tc>
      </w:tr>
    </w:tbl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rFonts w:ascii="Times New Roman" w:hAnsi="Times New Roman" w:eastAsia="Calibri" w:cs="Times New Roman" w:eastAsiaTheme="minorHAnsi"/>
          <w:b/>
          <w:bCs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b/>
          <w:bCs/>
          <w:color w:val="auto"/>
          <w:kern w:val="0"/>
          <w:sz w:val="26"/>
          <w:szCs w:val="26"/>
          <w:lang w:val="ru-RU" w:eastAsia="en-US" w:bidi="ar-SA"/>
        </w:rPr>
        <w:t>Учреждения дополнительного образования сферы «образование»</w:t>
      </w:r>
    </w:p>
    <w:p>
      <w:pPr>
        <w:pStyle w:val="Normal"/>
        <w:spacing w:before="0" w:after="0"/>
        <w:ind w:firstLine="709"/>
        <w:jc w:val="right"/>
        <w:rPr>
          <w:rFonts w:ascii="Times New Roman" w:hAnsi="Times New Roman" w:eastAsia="Calibri" w:cs="Times New Roman" w:eastAsiaTheme="minorHAnsi"/>
          <w:b w:val="false"/>
          <w:bCs w:val="false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b w:val="false"/>
          <w:bCs w:val="false"/>
          <w:color w:val="000000" w:themeColor="text1"/>
          <w:kern w:val="0"/>
          <w:sz w:val="26"/>
          <w:szCs w:val="26"/>
          <w:lang w:val="ru-RU" w:eastAsia="en-US" w:bidi="ar-SA"/>
        </w:rPr>
        <w:t>Таблица 2.10.3-3</w:t>
      </w:r>
    </w:p>
    <w:tbl>
      <w:tblPr>
        <w:tblStyle w:val="758"/>
        <w:tblW w:w="9975" w:type="dxa"/>
        <w:jc w:val="left"/>
        <w:tblInd w:w="47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firstRow="1" w:noVBand="1" w:lastRow="0" w:firstColumn="1" w:lastColumn="0" w:noHBand="0" w:val="04a0"/>
      </w:tblPr>
      <w:tblGrid>
        <w:gridCol w:w="735"/>
        <w:gridCol w:w="5765"/>
        <w:gridCol w:w="3475"/>
      </w:tblGrid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Arial" w:cs="Times New Roman" w:eastAsiaTheme="minorEastAsia"/>
                <w:b/>
                <w:bCs/>
                <w:sz w:val="26"/>
                <w:szCs w:val="26"/>
                <w:highlight w:val="none"/>
              </w:rPr>
            </w:pPr>
            <w:r>
              <w:rPr>
                <w:rFonts w:eastAsia="Arial" w:cs="Times New Roman" w:ascii="Times New Roman" w:hAnsi="Times New Roman" w:eastAsiaTheme="minorEastAsia"/>
                <w:b/>
                <w:bCs/>
                <w:sz w:val="26"/>
                <w:szCs w:val="26"/>
              </w:rPr>
              <w:t xml:space="preserve">№ </w:t>
            </w:r>
            <w:r>
              <w:rPr>
                <w:rFonts w:eastAsia="Arial" w:cs="Times New Roman" w:ascii="Times New Roman" w:hAnsi="Times New Roman" w:eastAsiaTheme="minorEastAsia"/>
                <w:b/>
                <w:bCs/>
                <w:sz w:val="26"/>
                <w:szCs w:val="26"/>
              </w:rPr>
              <w:t>п/п</w:t>
            </w:r>
          </w:p>
        </w:tc>
        <w:tc>
          <w:tcPr>
            <w:tcW w:w="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b/>
                <w:bCs/>
                <w:kern w:val="0"/>
                <w:sz w:val="26"/>
                <w:szCs w:val="26"/>
              </w:rPr>
              <w:t>Наименование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Arial" w:cs="Times New Roman" w:eastAsiaTheme="minorEastAsia"/>
                <w:b/>
                <w:bCs/>
                <w:sz w:val="26"/>
                <w:szCs w:val="26"/>
              </w:rPr>
            </w:pPr>
            <w:r>
              <w:rPr>
                <w:rFonts w:eastAsia="Arial" w:cs="Times New Roman" w:eastAsiaTheme="minorEastAsia" w:ascii="Times New Roman" w:hAnsi="Times New Roman"/>
                <w:b/>
                <w:bCs/>
                <w:sz w:val="26"/>
                <w:szCs w:val="26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b/>
                <w:bCs/>
                <w:kern w:val="0"/>
                <w:sz w:val="26"/>
                <w:szCs w:val="26"/>
              </w:rPr>
              <w:t>Юридический адрес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Arial" w:cs="Times New Roman" w:eastAsiaTheme="minorEastAsia"/>
                <w:b/>
                <w:bCs/>
                <w:sz w:val="26"/>
                <w:szCs w:val="26"/>
              </w:rPr>
            </w:pPr>
            <w:r>
              <w:rPr>
                <w:rFonts w:eastAsia="Arial" w:cs="Times New Roman" w:eastAsiaTheme="minorEastAsia" w:ascii="Times New Roman" w:hAnsi="Times New Roman"/>
                <w:b/>
                <w:bCs/>
                <w:sz w:val="26"/>
                <w:szCs w:val="26"/>
              </w:rPr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jc w:val="center"/>
              <w:rPr>
                <w:rFonts w:ascii="Times New Roman" w:hAnsi="Times New Roman" w:cs="Times New Roman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</w:r>
          </w:p>
        </w:tc>
        <w:tc>
          <w:tcPr>
            <w:tcW w:w="57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 xml:space="preserve">Муниципальное бюджетное учреждение дополнительного образования города Костромы </w:t>
            </w:r>
            <w:r>
              <w:rPr>
                <w:rFonts w:cs="Times New Roman" w:ascii="Times New Roman" w:hAnsi="Times New Roman"/>
                <w:b/>
                <w:kern w:val="0"/>
                <w:sz w:val="26"/>
                <w:szCs w:val="26"/>
              </w:rPr>
              <w:t>“Детско-юношеский центр «АРС»”</w:t>
            </w:r>
          </w:p>
        </w:tc>
        <w:tc>
          <w:tcPr>
            <w:tcW w:w="3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156016,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м-н Давыдовский-2, д.25</w:t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jc w:val="center"/>
              <w:rPr>
                <w:rFonts w:ascii="Times New Roman" w:hAnsi="Times New Roman" w:cs="Times New Roman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</w:r>
          </w:p>
        </w:tc>
        <w:tc>
          <w:tcPr>
            <w:tcW w:w="57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 xml:space="preserve">Муниципальное бюджетное учреждение дополнительного образования города Костромы </w:t>
            </w:r>
            <w:r>
              <w:rPr>
                <w:rFonts w:cs="Times New Roman" w:ascii="Times New Roman" w:hAnsi="Times New Roman"/>
                <w:b/>
                <w:kern w:val="0"/>
                <w:sz w:val="26"/>
                <w:szCs w:val="26"/>
              </w:rPr>
              <w:t>“Детско-юношеский центр «Заволжье»”</w:t>
            </w:r>
          </w:p>
        </w:tc>
        <w:tc>
          <w:tcPr>
            <w:tcW w:w="3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156010,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м-н Паново, 7а</w:t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jc w:val="center"/>
              <w:rPr>
                <w:rFonts w:ascii="Times New Roman" w:hAnsi="Times New Roman" w:cs="Times New Roman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</w:r>
          </w:p>
        </w:tc>
        <w:tc>
          <w:tcPr>
            <w:tcW w:w="57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 xml:space="preserve">Муниципальное бюджетное учреждение дополнительного образования города Костромы </w:t>
            </w:r>
            <w:r>
              <w:rPr>
                <w:rFonts w:cs="Times New Roman" w:ascii="Times New Roman" w:hAnsi="Times New Roman"/>
                <w:b/>
                <w:kern w:val="0"/>
                <w:sz w:val="26"/>
                <w:szCs w:val="26"/>
              </w:rPr>
              <w:t>“Детско-юношеский центр «Ровесник»”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3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156001,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ул. Садовая, 7</w:t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jc w:val="center"/>
              <w:rPr>
                <w:rFonts w:ascii="Times New Roman" w:hAnsi="Times New Roman" w:cs="Times New Roman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</w:r>
          </w:p>
        </w:tc>
        <w:tc>
          <w:tcPr>
            <w:tcW w:w="57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 xml:space="preserve">Муниципальное бюджетное учреждение дополнительного образования города Костромы </w:t>
            </w:r>
            <w:r>
              <w:rPr>
                <w:rFonts w:cs="Times New Roman" w:ascii="Times New Roman" w:hAnsi="Times New Roman"/>
                <w:b/>
                <w:kern w:val="0"/>
                <w:sz w:val="26"/>
                <w:szCs w:val="26"/>
              </w:rPr>
              <w:t>«Центр детского творчества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6"/>
                <w:szCs w:val="26"/>
              </w:rPr>
              <w:t>«Ипатьевская слобода»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3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156004,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ул. Просвещения, 24</w:t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jc w:val="center"/>
              <w:rPr>
                <w:rFonts w:ascii="Times New Roman" w:hAnsi="Times New Roman" w:cs="Times New Roman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</w:r>
          </w:p>
        </w:tc>
        <w:tc>
          <w:tcPr>
            <w:tcW w:w="57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 xml:space="preserve">Муниципальное бюджетное учреждение дополнительного образования города Костромы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6"/>
                <w:szCs w:val="26"/>
                <w:lang w:eastAsia="ru-RU"/>
              </w:rPr>
              <w:t>“Центр естественнонаучного развития «ЭКОсфера» (Станция юных натуралистов) имени выдающегося земляка Зубкова Виктора Федоровича”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3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156000,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 xml:space="preserve"> </w:t>
            </w: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ул. Березовая роща, д.1</w:t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jc w:val="center"/>
              <w:rPr>
                <w:rFonts w:ascii="Times New Roman" w:hAnsi="Times New Roman" w:cs="Times New Roman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</w:r>
          </w:p>
        </w:tc>
        <w:tc>
          <w:tcPr>
            <w:tcW w:w="57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>Муниципальное бюджетное учреждение дополнительного образования города Костромы</w:t>
            </w:r>
            <w:r>
              <w:rPr>
                <w:rFonts w:cs="Times New Roman" w:ascii="Times New Roman" w:hAnsi="Times New Roman"/>
                <w:b/>
                <w:kern w:val="0"/>
                <w:sz w:val="26"/>
                <w:szCs w:val="26"/>
              </w:rPr>
              <w:t xml:space="preserve"> “Дом детского творчества «Жемчужина»”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3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156003,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ул. Запрудня,10</w:t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jc w:val="center"/>
              <w:rPr>
                <w:rFonts w:ascii="Times New Roman" w:hAnsi="Times New Roman" w:cs="Times New Roman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</w:r>
          </w:p>
        </w:tc>
        <w:tc>
          <w:tcPr>
            <w:tcW w:w="57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>Муниципальное бюджетное учреждение дополнительного образования города Костромы «</w:t>
            </w:r>
            <w:r>
              <w:rPr>
                <w:rFonts w:cs="Times New Roman" w:ascii="Times New Roman" w:hAnsi="Times New Roman"/>
                <w:b/>
                <w:kern w:val="0"/>
                <w:sz w:val="26"/>
                <w:szCs w:val="26"/>
              </w:rPr>
              <w:t>Центр внешкольной работы «Беркут» имени Героя Советского Союза О. А. Юрасова»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3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156019,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Кинешемское шоссе, 15</w:t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jc w:val="center"/>
              <w:rPr>
                <w:rFonts w:ascii="Times New Roman" w:hAnsi="Times New Roman" w:cs="Times New Roman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</w:r>
          </w:p>
        </w:tc>
        <w:tc>
          <w:tcPr>
            <w:tcW w:w="57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 xml:space="preserve">Муниципальное бюджетное учреждение дополнительного образования города Костромы </w:t>
            </w:r>
            <w:r>
              <w:rPr>
                <w:rFonts w:cs="Times New Roman" w:ascii="Times New Roman" w:hAnsi="Times New Roman"/>
                <w:b/>
                <w:kern w:val="0"/>
                <w:sz w:val="26"/>
                <w:szCs w:val="26"/>
              </w:rPr>
              <w:t>«Детский морской центр»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3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156005,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ул. И.Сусанина, 31а</w:t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jc w:val="center"/>
              <w:rPr>
                <w:rFonts w:ascii="Times New Roman" w:hAnsi="Times New Roman" w:cs="Times New Roman"/>
                <w:b w:val="false"/>
                <w:bCs w:val="false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</w:rPr>
            </w:r>
          </w:p>
        </w:tc>
        <w:tc>
          <w:tcPr>
            <w:tcW w:w="57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 xml:space="preserve">Муниципальное бюджетное учреждение дополнительного образования города Костромы </w:t>
            </w:r>
            <w:r>
              <w:rPr>
                <w:rFonts w:cs="Times New Roman" w:ascii="Times New Roman" w:hAnsi="Times New Roman"/>
                <w:b/>
                <w:kern w:val="0"/>
                <w:sz w:val="26"/>
                <w:szCs w:val="26"/>
              </w:rPr>
              <w:t>“Центр творческого развития «Академия»”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3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156000,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Arial" w:cs="Times New Roman" w:ascii="Times New Roman" w:hAnsi="Times New Roman" w:eastAsiaTheme="minorEastAsia"/>
                <w:kern w:val="0"/>
                <w:sz w:val="26"/>
                <w:szCs w:val="26"/>
              </w:rPr>
              <w:t>г. Кострома, Спасокукоцкого, 50а</w:t>
            </w:r>
          </w:p>
        </w:tc>
      </w:tr>
    </w:tbl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1.1.3. Таблицу 2.11.2.1 изложить в следующей редакции:</w:t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«Таблица 2.1.2.1</w:t>
      </w:r>
    </w:p>
    <w:tbl>
      <w:tblPr>
        <w:tblW w:w="5000" w:type="pct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4"/>
        <w:gridCol w:w="2665"/>
        <w:gridCol w:w="2115"/>
        <w:gridCol w:w="2251"/>
        <w:gridCol w:w="2239"/>
      </w:tblGrid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510" w:right="510" w:hanging="51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п/п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Наименование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предприятия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Фактический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адрес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Основной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вид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деятельности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Решение, реестровый номер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ул.Войкова,44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Хранение и обслуживание атотранспортной техники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3434-01 от 23.05.2019 (вх.81-214/24) 44:27-6.2528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ООО ПКФ «Юпитер»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Московская, 102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порошковой проволоки для металлургической промышленности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№1879-01 от 08.08.2023 (вх.81-231/24) 44:27-6.5705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Просвещения, 22, стр.1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4503-01 от 04.07.2019 (вх.81-314/24) 44:27-6.2703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Солоница, 5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Котельная № 32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10438-01 от 24.12.2018 (вх.81-313/24)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44:27-6.2292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пос. Учхоз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 №4504-01 от 04.07.2019 (вх.81-314/24) 44:27-6.2704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Вокзальная, 1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2322-01 от 09.04.2019 (вх.81-314/24) 44:27-6.2350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 пос. Новый, 15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 №2322-01 от 11.04.2019 44:27-6.2319 (вх.81-314/24)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Вокзальная, 56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№2337-01 от 11.04.2019 (вх.81-214/24) 44:27-6.2318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Пастуховская, 37а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№3965-01 от 13.06.2019 (вх.81-314/24) 44:27-6.2699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Водяная, 95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Котельная № 28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10435-01 от 24.12.2018 (вх.81-313/24)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44:27-6.2290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2-я Загородная, 40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№3964-01 от 13.06.2019 (вх.81-314/24) 44:27-6.2697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Шагова, 205, стр.1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№2320-01 от 11.04.2019 (вх.81-314) 44:27-6.2295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Боровая, 4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№2338-01 от 11.04.2019 (вх.81-314) 44:27-6.2294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Кинешемское ш, 86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№2323-01 от 11.04.2019 (вх.81-314/24) 44:27-6.2293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Машиностроителей, 6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№2265-01 от 09.04.2019 (вх.81-314/24) 44:27-6.2288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Советская, 22а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№2268-01 от 09.04.2019 (вх.81-314/24) 44:27-6.2286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 Городские скти»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Машиностроителей, 5, стр.1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2267-01 от 09.04.2019 (вх.81-314/24) 44:27-6.2321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Сутырина, 8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2642-01 от 23.04.2019 (вх.81-314/24)  44:27-6.2364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Лесная, 27а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№4732-01 от 12.07.2019 (вх.81-314/24) 44:27-6.2822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Сплавщиков, 4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№2655-01 от 23.04.2019 44:27-6.2363 (вх. 81-214/24)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Советская, 122а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2216-01 от 08.04.2019 (вх.81-214/24) 44:27-6.2287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Ю.Смирнова, 41а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№2321-01 от 11.04.2019 (вх.81-314/24) 44:27-6.2320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Кинешемское ш. 72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 №2640-01 от 23.04.2019 (вх.81-314/24) 44:27-6.2362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Беленогова, 18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№2269-01 от 09.04.2019 (вх.81-314/24) 44:27-6.2289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Речной проезд, 7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№2324-01 от 11.04.2019  44:27-6.2386 (вх.81-314)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ООО «Предприятие ФЭСТ»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Рабочий пр-т, 7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материалов, применяемых в медицинских целях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1448-01 от 13.07.2023 (вх.81-231/24) 44:27-6.5714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Красная Байдарка, 1,3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№4664-01 от 10.07.2019 (вх.№ 81-314/24) 44:27-6.2823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ООО «Экрон-САХ»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Галичская, 126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Деятельность по обращению с опасными отходами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2371-01 от 08.10.2024 (вх.81-11/25) 44:27-6.7888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ООО «Лента»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м-н Давыдовский-3, 11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Деятельность торгово-развлекательных центров Торговый компекс Лента - 244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от 21.12.2018 №10317-01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44:27-6.2104 (вх.81-313/24)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НАО «СВЕЗА КОСТРОМА»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Комсомольская, 13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фанеры и ДСтП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227-01 от 22.01.2020 (вх.81-314/24)  44:27-6.3055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ОАО «КОЭК»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Партизанская, 37, стр. 1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котельная № 29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от 24.12.2018 № 10436-01 (вх.81-313)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44:27-6.2291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ЗАО «Межрегион Торг Инвест»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Солониковская, 6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цементно-стружечных плит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от 21.12.2018 №10318-01 (вх.81-313/24)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ИП Кисловой А. Ю.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Солониковская, 6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Цех по выпуску блоков из отходов основного  производства ЦСП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 № 61-01 от 13.01.2020 (вх.81-314/24)  44:27-6.3154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ООО «Мебельный комбинат № 7»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Московская, 105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деталей корпусной мебели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№2991-01 от 17.06.2022 (вх.81-232/24) 44:27-6.4949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ООО «Искра»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Коммунаров, 5, пом.1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Переработка отходов и лома драгоценных металлов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738-01 от 25.04.2023 (вх.81-231/24) 44:27-6.5673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ООО «Кострома-Медико»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Магистральная, 59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медицинских изделий одноразового применения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8058-01 от 25.12.2019 (вх.81/314/24) 44:27-6.3027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Филиал АО «Газпром Газораспределение Кострома»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Скворцова, 5а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Обслуживание и ремонт автомашин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60-01 от 13.01.2020 (вх.81-242/24) 44:27-6.3155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Бере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говая, 45а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котельная № 4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решение № 4663-01 от 10.07.2019 (вх.№81-314/24) 44:27-6.2863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Военный городок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 №3967-01 от 13.06.2019 44:27-6.2700 (вх.81-134/24)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Почтовая, 9а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3966-01 от 13.06.2019 (вх.81-214/24) 44:27-6.2698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МУП г. Костромы «Городские сети»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п. Волжский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котельная № 8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№2687-01 от 23.04.2019 44:27-6.2365 (вх.81-214/24)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ГУ ОАО «ТГК-2» по Костромской области Костромская ТЭЦ-1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Ерохова, 11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пара и горячей воды (тепловой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5418-01 от 17.07.2020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(вх.№81-245/24)  44:27-6.3238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 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Акционерное общество "Костромской судомеханический завод"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Береговая, 45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Строительство судов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решение №21536-01 от 22.12.2020 (вх.81-245/24) 44:27-6.3436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ПАО "Территориальная генерирующая компания №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52625"/>
                <w:spacing w:val="0"/>
                <w:sz w:val="24"/>
                <w:szCs w:val="24"/>
                <w:shd w:fill="auto" w:val="clear"/>
              </w:rPr>
              <w:t>2"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Индустриальная, 38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тепловой энергии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№8009-01 от 20.12.2019 (вх.81-314/24) 44:27-6.3026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ООО «Прогресс»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ул. Ю. Смирнова, 91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АЗС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№98-01 от 15.01.2020 (вх.81-314/24) 44:27-6.3081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ООО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«Резилюкс-Волга»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ул. Базовая,12, 12в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заготовок для пластиковых бутылок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1784-01 от 10.04.2020 (вх.81-245/24)  44:27-6.3153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ОАО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«Цвет»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ул. Локомотивная, 1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Прокладки резиновые, ёмкости стальные, люки, мешалки, днища, ёмкости СИП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934-01 от 14.05.2024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(вх.81-11/25) 44:27-6.7647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ООО «Синтез»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ул. П. Щербины,9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Станкостроение, автоматические линии, оборудование для лесопромышленного комплекса, оборудование для ювелирной промышленности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2234-01 от 19.09.2023 (вх.81-231/24) 44:27-6.6160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ООО «Космол»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ул. Советская, 144а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Молоко, кефир, творог, кремы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4987 от 06.07.2018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44:27-6.2109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АО «РН- Ярославль»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ш. Волгореченское, 3б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АЗС № 207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1295-01 от 21.06.2023 (вх.81-231/24) 44:27-6.5686</w:t>
            </w:r>
          </w:p>
        </w:tc>
      </w:tr>
      <w:tr>
        <w:trPr/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АО «РН- Ярославль»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ул. 2-я Волжская, 23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АЗС № 202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1147-01 от 06.06.2023 (вх.81-231/24) 44:27-6.5687</w:t>
            </w:r>
          </w:p>
        </w:tc>
      </w:tr>
      <w:tr>
        <w:trPr>
          <w:trHeight w:val="780" w:hRule="atLeast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АО "РН-Ярославль"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ул. Костромская, 107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АЗС № 204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№1297-01 от 21.06.2023 (вх.81-231/24) 44:27-6.5720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ДМРЛ-С Кострома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44:27:051001:207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Костромская, 120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Доплеровский метерологический радиолокатор-Кострома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44:27-6.3381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ПНЗ №4 Кострома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ул. Индустриальная д. 59 стр. 1 (ПНЗ-4)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Пункт наблюдения за загрязнением атмосферного воздуха №4 Кострома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44:00-6.558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ПНЗ №2 Кострома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ул. Заволжская, в районе д. 4 (ПНЗ-2)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Пункт наблюдения за загрязнением атмосферного воздуха №2 Кострома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44:27-6.3382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ПНЗ №3 Кострома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ул. Коммунаров, в районе д.4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Пункт наблюдения за загрязнением атмосферного воздуха №3 Кострома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44:27-6.3384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ПНЗ №1 Кострома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пр. Березовый в районе д.2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Пункт наблюдения за загрязнением атмосферного воздуха №1 Кострома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252625"/>
                <w:spacing w:val="0"/>
                <w:sz w:val="24"/>
                <w:szCs w:val="24"/>
                <w:shd w:fill="auto" w:val="clear"/>
              </w:rPr>
              <w:t>44:27-6.3383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АО "Костромская верфь"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ул Запрудня, 1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Производственное предприятие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от 13.08.2018 №6148-01 (вх.81-313/24)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44:27-6.3495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ООО «Строительная компания «КостромаСтройИнвест»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Дзержинского, 9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КНС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от 07.08.2018 № 5911-01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(вх.81-313/24)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Миролюбов А. В.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Кинешемское ш., 4г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Автосервис самообслуживания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от 10.08.2018 № 6088-01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(вх.81-313/24)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ИП Паисьева С. Л.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Индустриальная, 83а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Коммунально-складское здание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от 22.08.2018 № 6454-01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(вх.81-313/24)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ИП Погуляйко М. Ю.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мкрн Давыдовский- 2, 59а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Магазин игрушек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№1884-01 от 22.03.2019 (вх.81-314/24)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44:27-6.2702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МКУ «Автохозяйство»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Привокзальная, 17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Гаражи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6774-01 от 04.10.2019 (вх.81-314/24)  44:27-6.2937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ООО «Ю.К.ГолдСтрим»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Костромская, 78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Предприятие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 № 7496-01 от 25.11.2019 (вх.81-314/24)  44:27-6.3028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ООО «Неман»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Льняная, 8а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Промплощадка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1792-01 от 18.02.2022 (вх.81-232/24) 44:27-6.4129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ООО «Костромские просторы», ООО «ГТА»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г. Кострома, ул. Галичская, 117, 119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Промышленный узел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2313-01 от 12.05.2022 (вх.81-232/24) 44:27-6.4654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ООО «Восток»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ул. Вокзальная, 54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Предприятие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№3410-01 от 01.08.2022 (вх.81-232/24) 44:27-6.6279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АО «КС-Октябрь»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ул. Мелиоративная, 6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Промплощадка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4419-01 от 14.12.2022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(вх. 81-232/24)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АО «Кострома-Лада-Сервис»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 .Кострома, ул. 2-я Волжская, 14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Промплощадка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№760-01 от 20.02.2020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(вх.81-245/24) 44:27-6.3082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ФГБУ ГААС «Костромская»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просп. Мира, 53а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Испытательная лаборатория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№1092-01 от 16.03.2020 (вх.81-245/24) 44:27-6.3133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ООО «Костромская бумага»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ул. Солониковская, 12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Предприятие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3266-01 от 29.05.2020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(вх. 81-245/24)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ООО «Венер»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пер. Инженерный, 3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Предоставление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№7149-01 от 15.08.2020 (вх.81-245/24) 44:27-6.3343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ОАО «Костромской речной порт»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п. Новая Байдарка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Речной порт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Заключение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44.КЦ.01.000.Т.000230.07.10 от 29.07.2010 (письмо Роспотребнадзора от 09.04.2024 № 657-01)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АО «А-ТЕРМИНАЛ»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ул. Петра Щербины, д. 7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Предприятие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44-00-01/30-2351-2024 от 25.11.2024 (вх.81-11/25)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ООО «Новотекс+»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ул. Локомотивная, 8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Предприятие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44-00-01/39-3578-2024 от 04.12.2024 (вх.81-11/25) 44:27-6.8025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ООО «Космол»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ул. Галичская, 142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Производство пищевых продуктов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952-01 от 15.05.2024 (вх.81-11/25) 44:27-6.7096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ООО «Мултиколор»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ул. Димитрова, 26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Предприятие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260-01 от 15.02.2023 (вх.81-231/24)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ООО «Газпром газомоторное топливо»,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ул. Индустриальная, д.67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АГНКС-1 г. Кострома)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№737-01 от 25.04.2023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(вх.81-231/24) 44:27-6.5672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ООО "Газпром газомоторное топливо",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ул. Московская, д. 100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АГНКС-2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738-01 от 25.04.2023 (вх.81-231/24) 44:27-6.5673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ООО «Метмикс»,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пр-кт Мира, д. 151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Производство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2150-01 от 06.09.2023 (вх.81-231/24) 44:27-6.5719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ИП Чесноков А.М., ИП Красников А.Л.,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ул. Боровая, д.4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Промышленный узел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решение № 2275-01 от 26.09.2023 (вх.81-231/24) 44:27-6.6165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Охранная зона объекта "ПС Северная 110/6 кВ"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ул. Катушечная, д. 157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Энергообеспечение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44:27-6.5126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МУП г. Костромы «Костромагорводоканал»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ул. Юбилейная, 65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Васильевские очистные сооружения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44:27-6.702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АО "РН-Ярославль"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ул. Галичская, 111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АЗС № 12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44:27-6.3709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ООО "КТК"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ул. Профсоюзная, д.58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АЗС № 200,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44:27-6.3554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МКУ г. Костромы "Дорожное хозяйство"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ул. Сутырина, 4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Производственная база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44:27-6.2974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НАО "СВЕЗА КОСТРОМА"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ул. Петра Щербины, 25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Промплощадка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44:27-6.3549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МКУ г. Костромы "Дорожное хозяйство"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ул. Индустриальная, д. 56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Асфальтобетонный завод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44:27-6.3565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ОАО"Костромакровля"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ул. Мелиоративная, д. 19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предприятия по производству кровельных материалов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44:27-6.3576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ФГУП РТРС"Костромской областной радиотелевизионный передающий центр"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ул. Мясницкая, 19д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Зона ограничения застройки антенно-мачтового сооружения на высоте до 50 м.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44:27-6.1842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ФГУП РТРС"Костромской областной радиотелевизионный передающий центр"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ул. Мясницкая, 19д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Зона ограничения застройки антенно-мачтового сооружения на высоте до 40 м.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44:27-6.1843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ФГУП РТРС"Костромской областной радиотелевизионный передающий центр"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ул. Мясницкая, 19д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Зона ограничения застройки антенно-мачтового сооружения на высоте до 30 м.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44:27-6.1844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ООО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«Новая Костромская льняная мануфактура»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ул. Ерохова, 3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предприятие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решение №13933-01 от 28.10.2020 (вх.81-245/24)</w:t>
            </w:r>
          </w:p>
        </w:tc>
      </w:tr>
      <w:tr>
        <w:trPr>
          <w:trHeight w:val="1171" w:hRule="atLeast"/>
        </w:trPr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bidi w:val="0"/>
              <w:spacing w:lineRule="auto" w:line="240" w:beforeAutospacing="0" w:before="0" w:afterAutospacing="0" w:after="0"/>
              <w:ind w:left="340" w:right="454" w:hanging="397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МУП г.Костромы "Городские сети"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г. Кострома, ул. Красная Байдарка для домов 7,8,8а,8б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Тепловая энергия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решение №4674-01 от 10.07.2019 44:27-6.2824</w:t>
            </w:r>
          </w:p>
        </w:tc>
      </w:tr>
    </w:tbl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»;</w:t>
      </w:r>
    </w:p>
    <w:p>
      <w:pPr>
        <w:pStyle w:val="Normal"/>
        <w:tabs>
          <w:tab w:val="clear" w:pos="720"/>
          <w:tab w:val="left" w:pos="8205" w:leader="none"/>
        </w:tabs>
        <w:spacing w:before="0" w:after="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1.1.4. подраздел «</w:t>
      </w:r>
      <w:r>
        <w:rPr>
          <w:rFonts w:ascii="Times New Roman" w:hAnsi="Times New Roman"/>
          <w:b w:val="false"/>
          <w:bCs w:val="false"/>
          <w:sz w:val="26"/>
          <w:szCs w:val="26"/>
        </w:rPr>
        <w:t>Воздушный транспорт</w:t>
      </w:r>
      <w:r>
        <w:rPr>
          <w:rFonts w:ascii="Times New Roman" w:hAnsi="Times New Roman"/>
          <w:b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раздела 2.11.4. изложить в следующей редакции:</w:t>
      </w:r>
    </w:p>
    <w:p>
      <w:pPr>
        <w:pStyle w:val="Normal"/>
        <w:tabs>
          <w:tab w:val="clear" w:pos="720"/>
          <w:tab w:val="left" w:pos="8205" w:leader="none"/>
        </w:tabs>
        <w:spacing w:lineRule="auto" w:line="240" w:before="0" w:after="0"/>
        <w:ind w:firstLine="85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b/>
          <w:sz w:val="26"/>
          <w:szCs w:val="26"/>
        </w:rPr>
        <w:t>Воздушный транспорт</w:t>
      </w:r>
    </w:p>
    <w:p>
      <w:pPr>
        <w:pStyle w:val="Normal"/>
        <w:tabs>
          <w:tab w:val="clear" w:pos="720"/>
          <w:tab w:val="left" w:pos="8205" w:leader="none"/>
        </w:tabs>
        <w:spacing w:lineRule="auto" w:line="240" w:before="0" w:after="0"/>
        <w:ind w:firstLine="851"/>
        <w:jc w:val="both"/>
        <w:rPr/>
      </w:pPr>
      <w:r>
        <w:rPr>
          <w:rFonts w:ascii="Times New Roman" w:hAnsi="Times New Roman"/>
          <w:sz w:val="26"/>
          <w:szCs w:val="26"/>
        </w:rPr>
        <w:t>На территории города, в его северо-восточной части, расположен аэродром «Сокеркино», являющийся аэродромом являющийся аэродромом совместного базирования. Площадь аэродрома 352 га. Взлётно-посадочная полоса бетонная длиной 1700 метров, шириной 50 метров. Класс аэродрома – 4. Взлётно-посадочная полоса позволяет принимать самолёты типа ЯК-40, АН-24. Кроме того аэродром оборудован для приёма вертолётов всех типов. Костромскому авиапредприятию принадлежат здание аэровокзала и производственно-ремонтная база. Класс аэропорта – 3.</w:t>
      </w:r>
    </w:p>
    <w:p>
      <w:pPr>
        <w:pStyle w:val="Normal"/>
        <w:tabs>
          <w:tab w:val="clear" w:pos="720"/>
          <w:tab w:val="left" w:pos="8205" w:leader="none"/>
        </w:tabs>
        <w:spacing w:lineRule="auto" w:line="240" w:before="0" w:after="0"/>
        <w:ind w:firstLine="851"/>
        <w:jc w:val="both"/>
        <w:rPr/>
      </w:pPr>
      <w:r>
        <w:rPr>
          <w:rFonts w:ascii="Times New Roman" w:hAnsi="Times New Roman"/>
          <w:sz w:val="26"/>
          <w:szCs w:val="26"/>
        </w:rPr>
        <w:t>Приаэродромная территория аэродрома гражданской авиации Кострома (Сокеркино) установлена приказом Росавиации от 27.02.2024 №206-П. Полностью документ см. том 6, приложения к Генеральному плану г. Костромы.</w:t>
      </w:r>
    </w:p>
    <w:p>
      <w:pPr>
        <w:pStyle w:val="Normal"/>
        <w:widowControl/>
        <w:suppressAutoHyphens w:val="true"/>
        <w:bidi w:val="0"/>
        <w:spacing w:lineRule="auto" w:line="240" w:beforeAutospacing="0" w:before="0" w:afterAutospacing="0" w:after="0"/>
        <w:ind w:left="0" w:right="0" w:firstLine="850"/>
        <w:jc w:val="both"/>
        <w:rPr/>
      </w:pPr>
      <w:r>
        <w:rPr>
          <w:rFonts w:ascii="Times New Roman" w:hAnsi="Times New Roman"/>
          <w:sz w:val="26"/>
          <w:szCs w:val="26"/>
        </w:rPr>
        <w:t>Ранее установленная приказом Центрального МТУ Росавиации от 29.01.2021 №61 приаэродромная территория признана утратившей силу приказом Центрального МТУ Росавиацииот 16.07.2024 №644.</w:t>
      </w:r>
    </w:p>
    <w:p>
      <w:pPr>
        <w:pStyle w:val="Style18"/>
        <w:widowControl/>
        <w:suppressAutoHyphens w:val="true"/>
        <w:bidi w:val="0"/>
        <w:spacing w:lineRule="auto" w:line="240" w:beforeAutospacing="0" w:before="0" w:afterAutospacing="0" w:after="0"/>
        <w:ind w:left="0" w:right="0" w:firstLine="850"/>
        <w:jc w:val="both"/>
        <w:rPr>
          <w:b w:val="false"/>
        </w:rPr>
      </w:pPr>
      <w:r>
        <w:rPr>
          <w:rFonts w:ascii="Times New Roman" w:hAnsi="Times New Roman"/>
          <w:b w:val="false"/>
          <w:sz w:val="26"/>
          <w:szCs w:val="26"/>
        </w:rPr>
        <w:t>Граница приаэродромной территории аэродрома гражданской авиации Кострома (Сокеркино) установлена путем наложения границ семи подзон.</w:t>
      </w:r>
    </w:p>
    <w:p>
      <w:pPr>
        <w:pStyle w:val="Style18"/>
        <w:spacing w:lineRule="atLeast" w:line="285" w:before="0" w:after="0"/>
        <w:ind w:left="0" w:right="0" w:firstLine="540"/>
        <w:jc w:val="both"/>
        <w:rPr>
          <w:rFonts w:ascii="Times New Roman" w:hAnsi="Times New Roman" w:eastAsia="Calibri" w:cs="Times New Roman" w:eastAsiaTheme="minorHAnsi"/>
          <w:b w:val="false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b w:val="false"/>
          <w:color w:val="auto"/>
          <w:kern w:val="0"/>
          <w:sz w:val="26"/>
          <w:szCs w:val="26"/>
          <w:lang w:val="ru-RU" w:eastAsia="en-US" w:bidi="ar-SA"/>
        </w:rPr>
        <w:t>В подзонах приаэродромной территории аэродрома гражданской авиации Кострома (Сокеркино) устанавливаются следующие ограничения использования земельных участков и (или) расположенных на них объектов недвижимости и осуществления экономической и иной деятельности (далее - ограничения использования объектов недвижимости и осуществления деятельности):</w:t>
      </w:r>
    </w:p>
    <w:p>
      <w:pPr>
        <w:pStyle w:val="Style18"/>
        <w:spacing w:lineRule="atLeast" w:line="285" w:before="165" w:after="140"/>
        <w:ind w:left="0" w:right="0" w:firstLine="540"/>
        <w:jc w:val="both"/>
        <w:rPr>
          <w:rFonts w:ascii="Times New Roman" w:hAnsi="Times New Roman" w:eastAsia="Calibri" w:cs="Times New Roman" w:eastAsiaTheme="minorHAnsi"/>
          <w:b w:val="false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b w:val="false"/>
          <w:color w:val="auto"/>
          <w:kern w:val="0"/>
          <w:sz w:val="26"/>
          <w:szCs w:val="26"/>
          <w:lang w:val="ru-RU" w:eastAsia="en-US" w:bidi="ar-SA"/>
        </w:rPr>
        <w:t>первая подзона, в которой запрещается размещать объекты, не предназначенные для организации и обслуживания воздушного движения и воздушных перевозок, обеспечения взлета, посадки, руления и стоянки воздушных судов;</w:t>
      </w:r>
    </w:p>
    <w:p>
      <w:pPr>
        <w:pStyle w:val="Style18"/>
        <w:spacing w:lineRule="atLeast" w:line="285" w:before="165" w:after="140"/>
        <w:ind w:left="0" w:right="0" w:firstLine="540"/>
        <w:jc w:val="both"/>
        <w:rPr>
          <w:rFonts w:ascii="Times New Roman" w:hAnsi="Times New Roman" w:eastAsia="Calibri" w:cs="Times New Roman" w:eastAsiaTheme="minorHAnsi"/>
          <w:b w:val="false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b w:val="false"/>
          <w:color w:val="auto"/>
          <w:kern w:val="0"/>
          <w:sz w:val="26"/>
          <w:szCs w:val="26"/>
          <w:lang w:val="ru-RU" w:eastAsia="en-US" w:bidi="ar-SA"/>
        </w:rPr>
        <w:t xml:space="preserve">вторая подзона, в которой запрещается размещать объекты, не предназначенные для обслуживания пассажиров и обработки багажа, грузов и почты, обслуживания воздушных судов, хранения авиационного топлива и заправки воздушных судов, обеспечения энергоснабжения, а также объекты, не относящиеся к инфраструктуре аэропорта; </w:t>
      </w:r>
    </w:p>
    <w:p>
      <w:pPr>
        <w:pStyle w:val="Style18"/>
        <w:spacing w:lineRule="atLeast" w:line="285" w:before="165" w:after="140"/>
        <w:ind w:left="0" w:right="0" w:firstLine="540"/>
        <w:jc w:val="both"/>
        <w:rPr>
          <w:rFonts w:ascii="Times New Roman" w:hAnsi="Times New Roman" w:eastAsia="Calibri" w:cs="Times New Roman" w:eastAsiaTheme="minorHAnsi"/>
          <w:b w:val="false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b w:val="false"/>
          <w:color w:val="auto"/>
          <w:kern w:val="0"/>
          <w:sz w:val="26"/>
          <w:szCs w:val="26"/>
          <w:lang w:val="ru-RU" w:eastAsia="en-US" w:bidi="ar-SA"/>
        </w:rPr>
        <w:t xml:space="preserve">третья подзона, в которой запрещается размещать объекты, высота которых превышает ограничения, установленные уполномоченным Правительством Российской Федерации федеральным органом исполнительной власти при установлении соответствующей приаэродромной территории; </w:t>
      </w:r>
    </w:p>
    <w:p>
      <w:pPr>
        <w:pStyle w:val="Style18"/>
        <w:spacing w:lineRule="atLeast" w:line="285" w:before="165" w:after="140"/>
        <w:ind w:left="0" w:right="0" w:firstLine="540"/>
        <w:jc w:val="both"/>
        <w:rPr>
          <w:rFonts w:ascii="Times New Roman" w:hAnsi="Times New Roman" w:eastAsia="Calibri" w:cs="Times New Roman" w:eastAsiaTheme="minorHAnsi"/>
          <w:b w:val="false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b w:val="false"/>
          <w:color w:val="auto"/>
          <w:kern w:val="0"/>
          <w:sz w:val="26"/>
          <w:szCs w:val="26"/>
          <w:lang w:val="ru-RU" w:eastAsia="en-US" w:bidi="ar-SA"/>
        </w:rPr>
        <w:t xml:space="preserve">четвертая подзона, в которой запрещается размещать объекты, создающие помехи в работе наземных объектов средств и систем обслуживания воздушного движения, навигации, посадки и связи, предназначенных для организации воздушного движения и расположенных вне первой подзоны; </w:t>
      </w:r>
    </w:p>
    <w:p>
      <w:pPr>
        <w:pStyle w:val="Style18"/>
        <w:spacing w:lineRule="atLeast" w:line="285" w:before="165" w:after="140"/>
        <w:ind w:left="0" w:right="0" w:firstLine="540"/>
        <w:jc w:val="both"/>
        <w:rPr>
          <w:rFonts w:ascii="Times New Roman" w:hAnsi="Times New Roman" w:eastAsia="Calibri" w:cs="Times New Roman" w:eastAsiaTheme="minorHAnsi"/>
          <w:b w:val="false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b w:val="false"/>
          <w:color w:val="auto"/>
          <w:kern w:val="0"/>
          <w:sz w:val="26"/>
          <w:szCs w:val="26"/>
          <w:lang w:val="ru-RU" w:eastAsia="en-US" w:bidi="ar-SA"/>
        </w:rPr>
        <w:t xml:space="preserve">пятая подзона, в которой запрещается размещать опасные производственные объекты, функционирование которых может повлиять на безопасность полетов воздушных судов; </w:t>
      </w:r>
    </w:p>
    <w:p>
      <w:pPr>
        <w:pStyle w:val="Style18"/>
        <w:spacing w:lineRule="atLeast" w:line="285" w:before="165" w:after="140"/>
        <w:ind w:left="0" w:right="0" w:firstLine="540"/>
        <w:jc w:val="both"/>
        <w:rPr>
          <w:rFonts w:ascii="Times New Roman" w:hAnsi="Times New Roman" w:eastAsia="Calibri" w:cs="Times New Roman" w:eastAsiaTheme="minorHAnsi"/>
          <w:b w:val="false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b w:val="false"/>
          <w:color w:val="auto"/>
          <w:kern w:val="0"/>
          <w:sz w:val="26"/>
          <w:szCs w:val="26"/>
          <w:lang w:val="ru-RU" w:eastAsia="en-US" w:bidi="ar-SA"/>
        </w:rPr>
        <w:t xml:space="preserve">шестая подзона, в которой запрещается размещать объекты, способствующие привлечению и массовому скоплению птиц; </w:t>
      </w:r>
    </w:p>
    <w:p>
      <w:pPr>
        <w:pStyle w:val="Style18"/>
        <w:spacing w:lineRule="atLeast" w:line="285" w:before="165" w:after="140"/>
        <w:ind w:left="0" w:right="0" w:firstLine="540"/>
        <w:jc w:val="both"/>
        <w:rPr>
          <w:rFonts w:ascii="Times New Roman" w:hAnsi="Times New Roman" w:eastAsia="Calibri" w:cs="Times New Roman" w:eastAsiaTheme="minorHAnsi"/>
          <w:b w:val="false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b w:val="false"/>
          <w:color w:val="auto"/>
          <w:kern w:val="0"/>
          <w:sz w:val="26"/>
          <w:szCs w:val="26"/>
          <w:lang w:val="ru-RU" w:eastAsia="en-US" w:bidi="ar-SA"/>
        </w:rPr>
        <w:t>седьмая подзона, в которой в целях предотвращения негативного физического воздействия устанавливается перечень ограничений использования земельных участков, определенный в соответствии с земельным законодательством с учетом положений Воздушного кодекса Российской Федерации. При этом под указанным негативным физическим воздействием понимается несоответствие эквивалентного уровня звука, возникающего в связи с полетами воздушных судов, санитарно-эпидемиологическим требованиям.</w:t>
      </w:r>
    </w:p>
    <w:p>
      <w:pPr>
        <w:pStyle w:val="Style18"/>
        <w:spacing w:lineRule="atLeast" w:line="285" w:before="165" w:after="140"/>
        <w:ind w:left="0" w:right="0" w:firstLine="540"/>
        <w:jc w:val="both"/>
        <w:rPr/>
      </w:pPr>
      <w:r>
        <w:rPr>
          <w:rFonts w:eastAsia="Calibri" w:cs="Times New Roman" w:ascii="Times New Roman" w:hAnsi="Times New Roman" w:eastAsiaTheme="minorHAnsi"/>
          <w:b w:val="false"/>
          <w:color w:val="auto"/>
          <w:kern w:val="0"/>
          <w:sz w:val="26"/>
          <w:szCs w:val="26"/>
          <w:lang w:val="ru-RU" w:eastAsia="en-US" w:bidi="ar-SA"/>
        </w:rPr>
        <w:t>Приаэр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одромная территория аэродрома гражданской авиации Кострома (Сокеркино) является зоной с особыми условиями использования территорий.</w:t>
      </w:r>
    </w:p>
    <w:p>
      <w:pPr>
        <w:pStyle w:val="Style18"/>
        <w:widowControl/>
        <w:suppressAutoHyphens w:val="true"/>
        <w:bidi w:val="0"/>
        <w:spacing w:lineRule="atLeast" w:line="285" w:beforeAutospacing="0" w:before="165" w:afterAutospacing="0" w:after="140"/>
        <w:ind w:left="0" w:right="0" w:firstLine="850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 xml:space="preserve">В соответствии с требованиями Воздушного кодекса Российской Федерации и Федерального закона от 1 июля 2017 г.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 (далее - Федеральный закон N 135-ФЗ) на приаэродромной территории аэродрома гражданской авиации Кострома (Сокеркино) установлены ограничения использования объектов недвижимости и осуществления деятельности. </w:t>
      </w:r>
    </w:p>
    <w:p>
      <w:pPr>
        <w:pStyle w:val="Style18"/>
        <w:widowControl/>
        <w:suppressAutoHyphens w:val="true"/>
        <w:bidi w:val="0"/>
        <w:spacing w:lineRule="atLeast" w:line="285" w:beforeAutospacing="0" w:before="0" w:afterAutospacing="0" w:after="0"/>
        <w:ind w:left="0" w:right="0" w:firstLine="850"/>
        <w:jc w:val="both"/>
        <w:rPr/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 xml:space="preserve">Первая подзона приаэродромной территории аэродрома гражданской авиации Кострома (Сокеркино): </w:t>
      </w:r>
      <w:r>
        <w:rPr/>
        <w:t xml:space="preserve">  </w:t>
      </w:r>
    </w:p>
    <w:p>
      <w:pPr>
        <w:pStyle w:val="Style18"/>
        <w:spacing w:lineRule="atLeast" w:line="285" w:before="0" w:after="0"/>
        <w:ind w:left="0" w:right="0" w:firstLine="540"/>
        <w:jc w:val="right"/>
        <w:rPr/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Таблица 2.11.4.3</w:t>
      </w:r>
    </w:p>
    <w:tbl>
      <w:tblPr>
        <w:tblW w:w="9075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994"/>
        <w:gridCol w:w="4080"/>
      </w:tblGrid>
      <w:tr>
        <w:trPr/>
        <w:tc>
          <w:tcPr>
            <w:tcW w:w="4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before="0" w:after="283"/>
              <w:ind w:left="60" w:right="60" w:hanging="0"/>
              <w:jc w:val="center"/>
              <w:rPr/>
            </w:pPr>
            <w:r>
              <w:rPr/>
              <w:t>Перечень ограничений использования объектов недвижимости и осуществления деятельности</w:t>
            </w: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before="0" w:after="283"/>
              <w:ind w:left="60" w:right="60" w:hanging="0"/>
              <w:jc w:val="center"/>
              <w:rPr/>
            </w:pPr>
            <w:r>
              <w:rPr/>
              <w:t>Обоснование ограничений</w:t>
            </w:r>
          </w:p>
        </w:tc>
      </w:tr>
      <w:tr>
        <w:trPr/>
        <w:tc>
          <w:tcPr>
            <w:tcW w:w="4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lineRule="atLeast" w:line="285" w:before="0" w:after="283"/>
              <w:ind w:left="60" w:right="60" w:hanging="0"/>
              <w:jc w:val="both"/>
              <w:rPr>
                <w:b w:val="false"/>
              </w:rPr>
            </w:pPr>
            <w:r>
              <w:rPr>
                <w:b w:val="false"/>
              </w:rPr>
              <w:t>В границах первой подзоны запрещается размещать объекты, не предназначенные для организации и обслуживания воздушного движения и воздушных перевозок, обеспечения взлета, посадки, руления и стоянки воздушных судов.</w:t>
            </w: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1.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Подпункт 1 пункта 3 статьи 47</w:t>
            </w:r>
            <w:r>
              <w:rPr>
                <w:b w:val="false"/>
              </w:rPr>
              <w:t xml:space="preserve"> Воздушного кодекса Российской Федерации.</w:t>
            </w:r>
          </w:p>
          <w:p>
            <w:pPr>
              <w:pStyle w:val="Style30"/>
              <w:widowControl w:val="false"/>
              <w:spacing w:lineRule="atLeast" w:line="285" w:before="0" w:after="0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2.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Подпункт 1 пункта 3 статьи 1</w:t>
            </w:r>
            <w:r>
              <w:rPr>
                <w:b w:val="false"/>
              </w:rPr>
              <w:t xml:space="preserve"> Федерального закона N 135-ФЗ.</w:t>
            </w:r>
          </w:p>
          <w:p>
            <w:pPr>
              <w:pStyle w:val="Style30"/>
              <w:widowControl w:val="false"/>
              <w:spacing w:lineRule="atLeast" w:line="285" w:before="0" w:after="0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3.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Подпункт "а" пункта 1(1)</w:t>
            </w:r>
            <w:r>
              <w:rPr>
                <w:b w:val="false"/>
              </w:rPr>
              <w:t xml:space="preserve"> Положения.</w:t>
            </w:r>
          </w:p>
        </w:tc>
      </w:tr>
    </w:tbl>
    <w:p>
      <w:pPr>
        <w:pStyle w:val="Style18"/>
        <w:widowControl/>
        <w:suppressAutoHyphens w:val="true"/>
        <w:bidi w:val="0"/>
        <w:spacing w:lineRule="atLeast" w:line="285" w:beforeAutospacing="0" w:before="0" w:afterAutospacing="0" w:after="0"/>
        <w:ind w:left="0" w:right="0" w:firstLine="850"/>
        <w:jc w:val="both"/>
        <w:rPr/>
      </w:pPr>
      <w:r>
        <w:rPr>
          <w:rFonts w:eastAsia="Calibri" w:cs="Times New Roman" w:ascii="Times New Roman" w:hAnsi="Times New Roman" w:eastAsiaTheme="minorHAnsi"/>
          <w:b w:val="false"/>
          <w:color w:val="auto"/>
          <w:kern w:val="0"/>
          <w:sz w:val="26"/>
          <w:szCs w:val="26"/>
          <w:lang w:val="ru-RU" w:eastAsia="en-US" w:bidi="ar-SA"/>
        </w:rPr>
        <w:t> </w:t>
      </w:r>
      <w:r>
        <w:rPr>
          <w:rFonts w:eastAsia="Calibri" w:cs="Times New Roman" w:ascii="Times New Roman" w:hAnsi="Times New Roman" w:eastAsiaTheme="minorHAnsi"/>
          <w:b w:val="false"/>
          <w:color w:val="auto"/>
          <w:kern w:val="0"/>
          <w:sz w:val="26"/>
          <w:szCs w:val="26"/>
          <w:lang w:val="ru-RU" w:eastAsia="en-US" w:bidi="ar-SA"/>
        </w:rPr>
        <w:t xml:space="preserve">Вторая подзона приаэродромной территории аэродрома гражданской авиации Кострома (Сокеркино):   </w:t>
      </w:r>
    </w:p>
    <w:p>
      <w:pPr>
        <w:pStyle w:val="Style18"/>
        <w:spacing w:lineRule="atLeast" w:line="285" w:before="0" w:after="0"/>
        <w:ind w:left="0" w:right="0" w:firstLine="540"/>
        <w:jc w:val="right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b w:val="false"/>
          <w:color w:val="auto"/>
          <w:kern w:val="0"/>
          <w:sz w:val="26"/>
          <w:szCs w:val="26"/>
          <w:lang w:val="ru-RU" w:eastAsia="en-US" w:bidi="ar-SA"/>
        </w:rPr>
        <w:t>Таблица 2.11.4.4</w:t>
      </w:r>
    </w:p>
    <w:tbl>
      <w:tblPr>
        <w:tblW w:w="9075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994"/>
        <w:gridCol w:w="4080"/>
      </w:tblGrid>
      <w:tr>
        <w:trPr/>
        <w:tc>
          <w:tcPr>
            <w:tcW w:w="4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before="0" w:after="283"/>
              <w:ind w:left="60" w:right="60" w:hanging="0"/>
              <w:jc w:val="center"/>
              <w:rPr/>
            </w:pPr>
            <w:r>
              <w:rPr/>
              <w:t>Перечень ограничений использования объектов недвижимости и осуществления деятельности</w:t>
            </w: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before="0" w:after="283"/>
              <w:ind w:left="60" w:right="60" w:hanging="0"/>
              <w:jc w:val="center"/>
              <w:rPr/>
            </w:pPr>
            <w:r>
              <w:rPr/>
              <w:t>Обоснование ограничений</w:t>
            </w:r>
          </w:p>
        </w:tc>
      </w:tr>
      <w:tr>
        <w:trPr/>
        <w:tc>
          <w:tcPr>
            <w:tcW w:w="4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jc w:val="both"/>
              <w:rPr>
                <w:b w:val="false"/>
              </w:rPr>
            </w:pPr>
            <w:r>
              <w:rPr>
                <w:b w:val="false"/>
              </w:rPr>
              <w:t>В границах второй подзоны запрещается размещать объекты, не предназначенные для обслуживания пассажиров и обработки багажа, грузов и почты, обслуживания воздушных судов, хранения авиационного топлива и заправки воздушных судов, обеспечения энергоснабжения, а также объекты, не относящиеся к инфраструктуре аэропорта.</w:t>
            </w: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1.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Подпункт 2 пункта 3 статьи 47</w:t>
            </w:r>
            <w:r>
              <w:rPr>
                <w:b w:val="false"/>
              </w:rPr>
              <w:t xml:space="preserve"> Воздушного кодекса Российской Федерации.</w:t>
            </w:r>
          </w:p>
          <w:p>
            <w:pPr>
              <w:pStyle w:val="Style30"/>
              <w:widowControl w:val="false"/>
              <w:spacing w:lineRule="atLeast" w:line="285" w:before="0" w:after="0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2.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Подпункт 2 пункта 3 статьи 1</w:t>
            </w:r>
            <w:r>
              <w:rPr>
                <w:b w:val="false"/>
              </w:rPr>
              <w:t xml:space="preserve"> Федерального закона N 135-ФЗ.</w:t>
            </w:r>
          </w:p>
          <w:p>
            <w:pPr>
              <w:pStyle w:val="Style30"/>
              <w:widowControl w:val="false"/>
              <w:spacing w:lineRule="atLeast" w:line="285" w:before="0" w:after="0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3.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Подпункт "а" пункта 1(1)</w:t>
            </w:r>
            <w:r>
              <w:rPr>
                <w:b w:val="false"/>
              </w:rPr>
              <w:t xml:space="preserve"> Положения.</w:t>
            </w:r>
          </w:p>
        </w:tc>
      </w:tr>
    </w:tbl>
    <w:p>
      <w:pPr>
        <w:pStyle w:val="Style18"/>
        <w:widowControl/>
        <w:suppressAutoHyphens w:val="true"/>
        <w:bidi w:val="0"/>
        <w:spacing w:lineRule="atLeast" w:line="285" w:beforeAutospacing="0" w:before="0" w:afterAutospacing="0" w:after="0"/>
        <w:ind w:left="0" w:right="0" w:firstLine="850"/>
        <w:jc w:val="both"/>
        <w:rPr/>
      </w:pPr>
      <w:r>
        <w:rPr/>
        <w:t> </w:t>
      </w:r>
      <w:r>
        <w:rPr>
          <w:rFonts w:eastAsia="Calibri" w:cs="Times New Roman" w:ascii="Times New Roman" w:hAnsi="Times New Roman" w:eastAsiaTheme="minorHAnsi"/>
          <w:b w:val="false"/>
          <w:color w:val="auto"/>
          <w:kern w:val="0"/>
          <w:sz w:val="26"/>
          <w:szCs w:val="26"/>
          <w:lang w:val="ru-RU" w:eastAsia="en-US" w:bidi="ar-SA"/>
        </w:rPr>
        <w:t xml:space="preserve">Третья подзона приаэродромной территории аэродрома гражданской авиации Кострома (Сокеркино):   </w:t>
      </w:r>
    </w:p>
    <w:p>
      <w:pPr>
        <w:pStyle w:val="Style18"/>
        <w:spacing w:lineRule="atLeast" w:line="285" w:before="0" w:after="0"/>
        <w:ind w:left="0" w:right="0" w:firstLine="540"/>
        <w:jc w:val="right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b w:val="false"/>
          <w:color w:val="auto"/>
          <w:kern w:val="0"/>
          <w:sz w:val="26"/>
          <w:szCs w:val="26"/>
          <w:lang w:val="ru-RU" w:eastAsia="en-US" w:bidi="ar-SA"/>
        </w:rPr>
        <w:t>Таблица 2.11.4.5</w:t>
      </w:r>
    </w:p>
    <w:tbl>
      <w:tblPr>
        <w:tblW w:w="9060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590"/>
        <w:gridCol w:w="3390"/>
        <w:gridCol w:w="4080"/>
      </w:tblGrid>
      <w:tr>
        <w:trPr/>
        <w:tc>
          <w:tcPr>
            <w:tcW w:w="4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before="0" w:after="283"/>
              <w:ind w:left="60" w:right="60" w:hanging="0"/>
              <w:jc w:val="center"/>
              <w:rPr/>
            </w:pPr>
            <w:r>
              <w:rPr/>
              <w:t>Перечень ограничений использования объектов недвижимости и осуществления деятельности</w:t>
            </w: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before="0" w:after="283"/>
              <w:ind w:left="60" w:right="60" w:hanging="0"/>
              <w:jc w:val="center"/>
              <w:rPr/>
            </w:pPr>
            <w:r>
              <w:rPr/>
              <w:t>Обоснование ограничений</w:t>
            </w:r>
          </w:p>
        </w:tc>
      </w:tr>
      <w:tr>
        <w:trPr/>
        <w:tc>
          <w:tcPr>
            <w:tcW w:w="4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lineRule="atLeast" w:line="285" w:before="0" w:after="55"/>
              <w:ind w:left="60" w:right="60" w:hanging="0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1. В границах третьей подзоны запрещается размещать объекты, высота которых превышает ограничения, приведенные в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пункте 2</w:t>
            </w:r>
            <w:r>
              <w:rPr>
                <w:b w:val="false"/>
              </w:rPr>
              <w:t xml:space="preserve"> настоящей таблицы.</w:t>
            </w:r>
          </w:p>
          <w:p>
            <w:pPr>
              <w:pStyle w:val="Style30"/>
              <w:widowControl w:val="false"/>
              <w:spacing w:lineRule="atLeast" w:line="285" w:before="0" w:after="0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2. Строительство и реконструкция зданий, сооружений в границах третьей подзоны разрешается только после определения максимально допустимой высоты здания, сооружения в зависимости от местоположения путем проведения соответствующих расчетов в соответствии с требованиями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ФАП-262</w:t>
            </w:r>
            <w:r>
              <w:rPr>
                <w:b w:val="false"/>
              </w:rPr>
              <w:t xml:space="preserve"> с учетом следующих абсолютных высот ограничения объектов в Балтийской системе высот 1977 года:</w:t>
            </w:r>
          </w:p>
          <w:p>
            <w:pPr>
              <w:pStyle w:val="Style30"/>
              <w:widowControl w:val="false"/>
              <w:spacing w:lineRule="atLeast" w:line="285" w:before="0" w:after="0"/>
              <w:jc w:val="both"/>
              <w:rPr>
                <w:b w:val="false"/>
              </w:rPr>
            </w:pPr>
            <w:r>
              <w:rPr>
                <w:b w:val="false"/>
              </w:rPr>
              <w:t>Переходная поверхность</w:t>
            </w: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1.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Подпункт 3 пункта 3 статьи 47</w:t>
            </w:r>
            <w:r>
              <w:rPr>
                <w:b w:val="false"/>
              </w:rPr>
              <w:t xml:space="preserve"> Воздушного кодекса Российской Федерации.</w:t>
            </w:r>
          </w:p>
          <w:p>
            <w:pPr>
              <w:pStyle w:val="Style30"/>
              <w:widowControl w:val="false"/>
              <w:spacing w:lineRule="atLeast" w:line="285" w:before="0" w:after="0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2.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Подпункт 3 пункта 3 статьи 1</w:t>
            </w:r>
            <w:r>
              <w:rPr>
                <w:b w:val="false"/>
              </w:rPr>
              <w:t xml:space="preserve"> Федерального закона N 135-ФЗ.</w:t>
            </w:r>
          </w:p>
          <w:p>
            <w:pPr>
              <w:pStyle w:val="Style30"/>
              <w:widowControl w:val="false"/>
              <w:spacing w:lineRule="atLeast" w:line="285" w:before="0" w:after="0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3.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Подпункт "б" пункта 1(1)</w:t>
            </w:r>
            <w:r>
              <w:rPr>
                <w:b w:val="false"/>
              </w:rPr>
              <w:t xml:space="preserve"> Положения.</w:t>
            </w:r>
          </w:p>
        </w:tc>
      </w:tr>
      <w:tr>
        <w:trPr/>
        <w:tc>
          <w:tcPr>
            <w:tcW w:w="1590" w:type="dxa"/>
            <w:tcBorders>
              <w:top w:val="single" w:sz="2" w:space="0" w:color="000000"/>
              <w:left w:val="single" w:sz="2" w:space="0" w:color="000000"/>
            </w:tcBorders>
            <w:tcMar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jc w:val="both"/>
              <w:rPr>
                <w:b w:val="false"/>
              </w:rPr>
            </w:pP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Сектор 1</w:t>
            </w:r>
          </w:p>
        </w:tc>
        <w:tc>
          <w:tcPr>
            <w:tcW w:w="3390" w:type="dxa"/>
            <w:tcBorders>
              <w:top w:val="single" w:sz="2" w:space="0" w:color="000000"/>
              <w:right w:val="single" w:sz="2" w:space="0" w:color="000000"/>
            </w:tcBorders>
            <w:tcMar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jc w:val="both"/>
              <w:rPr>
                <w:b w:val="false"/>
              </w:rPr>
            </w:pPr>
            <w:r>
              <w:rPr>
                <w:b w:val="false"/>
              </w:rPr>
              <w:t>от 176 м до 186 м</w:t>
            </w: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166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156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146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5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160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6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136 м до 160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7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160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8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134 м до 160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9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160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10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134 м до 160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11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160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12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135 м до 160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13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160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14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136 м до 160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15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160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16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137 м до 160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17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147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18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157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19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167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20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177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21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уровня земли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22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176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23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166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24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156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25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146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26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160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27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136 м до 160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28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160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29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134 м до 160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30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160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31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134 м до 160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32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160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33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135 м до 160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55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34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160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35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136 м до 160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36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160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37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137 м до 160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38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147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39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157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40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167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41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177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4980" w:type="dxa"/>
            <w:gridSpan w:val="2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Поверхности захода на посадку с учетом поверхностей взлета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136 м до 139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139 м до 145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145 м до 151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151 м до 157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5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157 м до 163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6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163 м до 169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7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169 м до 175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8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175 м до 181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9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181 м до 187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10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187 м до 193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11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193 м до 199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12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199 м до 205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13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205 м до 211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14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211 м до 212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15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212 м до 218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16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218 м до 224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17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224 м до 230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18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220 м до 236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19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236 м до 242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20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242 м до 248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21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248 м до 254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22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254 м до 260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23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260 м до 266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24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266 м до 272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25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272 м до 278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26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278 м до 284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27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284 м до 286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28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286 м до 313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29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313 м до 316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30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134 м до 137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31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137 м до 143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32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143 м до 150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33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150 м до 156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34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156 м до 162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35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162 м до 168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36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168 м до 174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37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174 м до 180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38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180 м до 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39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186 м до 192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40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192 м до 198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41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198 м до 204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42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204 м до 210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43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210 м до 211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44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211 м до 217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45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217 м до 224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46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224 м до 230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47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230 м до 236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48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236 м до 242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49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242 м до 248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50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248 м до 254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51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254 м до 260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52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260 м до 266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53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266 м до 272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54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272 м до 278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55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55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55"/>
              <w:ind w:left="60" w:right="60" w:hanging="0"/>
              <w:rPr/>
            </w:pPr>
            <w:r>
              <w:rPr/>
              <w:t>от 278 м до 284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55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56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284 м до 286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57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286 м до 311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58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311 м до 314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4980" w:type="dxa"/>
            <w:gridSpan w:val="2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Внутренняя горизонтальная поверхность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Секторы 1</w:t>
            </w:r>
            <w:r>
              <w:rPr/>
              <w:t xml:space="preserve">, </w:t>
            </w: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2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55"/>
              <w:ind w:left="60" w:right="60" w:hanging="0"/>
              <w:rPr/>
            </w:pPr>
            <w:r>
              <w:rPr/>
              <w:t>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4980" w:type="dxa"/>
            <w:gridSpan w:val="2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Коническая поверхность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186 м до 211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211 м до 236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236 м до 261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261 м до 286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5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186 м до 211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6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211 м до 236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7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236 м до 261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8</w:t>
            </w:r>
          </w:p>
        </w:tc>
        <w:tc>
          <w:tcPr>
            <w:tcW w:w="339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от 261 м до 286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4980" w:type="dxa"/>
            <w:gridSpan w:val="2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Внешняя горизонтальная поверхность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Секторы 1</w:t>
            </w:r>
            <w:r>
              <w:rPr/>
              <w:t xml:space="preserve">, </w:t>
            </w: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2</w:t>
            </w:r>
          </w:p>
        </w:tc>
        <w:tc>
          <w:tcPr>
            <w:tcW w:w="33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  <w:t>286 м</w:t>
            </w:r>
          </w:p>
        </w:tc>
        <w:tc>
          <w:tcPr>
            <w:tcW w:w="4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rPr/>
            </w:pPr>
            <w:r>
              <w:rPr/>
            </w:r>
          </w:p>
        </w:tc>
      </w:tr>
    </w:tbl>
    <w:p>
      <w:pPr>
        <w:pStyle w:val="Style18"/>
        <w:widowControl/>
        <w:suppressAutoHyphens w:val="true"/>
        <w:bidi w:val="0"/>
        <w:spacing w:lineRule="atLeast" w:line="285" w:beforeAutospacing="0" w:before="0" w:afterAutospacing="0" w:after="0"/>
        <w:ind w:left="0" w:right="0" w:firstLine="850"/>
        <w:jc w:val="both"/>
        <w:rPr>
          <w:sz w:val="26"/>
          <w:szCs w:val="26"/>
        </w:rPr>
      </w:pPr>
      <w:r>
        <w:rPr>
          <w:rFonts w:eastAsia="SimSun" w:cs="Mangal" w:ascii="Times New Roman" w:hAnsi="Times New Roman"/>
          <w:b w:val="false"/>
          <w:color w:val="auto"/>
          <w:kern w:val="0"/>
          <w:sz w:val="26"/>
          <w:szCs w:val="26"/>
          <w:lang w:val="ru-RU" w:eastAsia="zh-CN" w:bidi="hi-IN"/>
        </w:rPr>
        <w:t xml:space="preserve">Четвертая подзона приаэродромной территории аэродрома гражданской авиации Кострома (Сокеркино), в которой в соответствии с постановлением № 1240 абсолютная высота ограничения объектов устанавливается в Балтийской системе высот 1977 года: </w:t>
      </w:r>
      <w:r>
        <w:rPr>
          <w:sz w:val="26"/>
          <w:szCs w:val="26"/>
        </w:rPr>
        <w:t> </w:t>
      </w:r>
    </w:p>
    <w:p>
      <w:pPr>
        <w:pStyle w:val="Style18"/>
        <w:spacing w:lineRule="atLeast" w:line="285" w:before="0" w:after="0"/>
        <w:ind w:left="0" w:right="0" w:firstLine="540"/>
        <w:jc w:val="right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Таблица 2.11.4.6</w:t>
      </w:r>
    </w:p>
    <w:tbl>
      <w:tblPr>
        <w:tblW w:w="9060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530"/>
        <w:gridCol w:w="3450"/>
        <w:gridCol w:w="4080"/>
      </w:tblGrid>
      <w:tr>
        <w:trPr/>
        <w:tc>
          <w:tcPr>
            <w:tcW w:w="4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before="0" w:after="283"/>
              <w:ind w:left="60" w:right="60" w:hanging="0"/>
              <w:jc w:val="center"/>
              <w:rPr/>
            </w:pPr>
            <w:r>
              <w:rPr/>
              <w:t>Перечень ограничений использования объектов недвижимости и осуществления деятельности</w:t>
            </w: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before="0" w:after="283"/>
              <w:ind w:left="60" w:right="60" w:hanging="0"/>
              <w:jc w:val="center"/>
              <w:rPr/>
            </w:pPr>
            <w:r>
              <w:rPr/>
              <w:t>Обоснование ограничений</w:t>
            </w:r>
          </w:p>
        </w:tc>
      </w:tr>
      <w:tr>
        <w:trPr/>
        <w:tc>
          <w:tcPr>
            <w:tcW w:w="49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283"/>
              <w:ind w:left="60" w:right="60" w:hanging="0"/>
              <w:jc w:val="both"/>
              <w:rPr>
                <w:b w:val="false"/>
              </w:rPr>
            </w:pPr>
            <w:r>
              <w:rPr>
                <w:b w:val="false"/>
              </w:rPr>
              <w:t>1. В границах четвертой подзоны запрещается размещать объекты, создающие помехи в работе наземных объектов средств и систем обслуживания воздушного движения, навигации, посадки и связи, предназначенных для организации воздушного движения и расположенных вне первой подзоны.</w:t>
            </w:r>
          </w:p>
          <w:p>
            <w:pPr>
              <w:pStyle w:val="Style30"/>
              <w:widowControl w:val="false"/>
              <w:spacing w:lineRule="atLeast" w:line="285" w:before="0" w:after="283"/>
              <w:jc w:val="both"/>
              <w:rPr>
                <w:b w:val="false"/>
              </w:rPr>
            </w:pPr>
            <w:r>
              <w:rPr>
                <w:b w:val="false"/>
              </w:rPr>
              <w:t>2. В границах четвертой подзоны запрещается без согласования с оператором аэродрома размещение объектов, превышающих следующие абсолютные высотные ограничения:</w:t>
            </w: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tLeast" w:line="285" w:before="0" w:after="283"/>
              <w:ind w:left="60" w:right="60" w:hanging="0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1.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Подпункт 4 пункта 3 статьи 47</w:t>
            </w:r>
            <w:r>
              <w:rPr>
                <w:b w:val="false"/>
              </w:rPr>
              <w:t xml:space="preserve"> Воздушного кодекса Российской Федерации.</w:t>
            </w:r>
          </w:p>
          <w:p>
            <w:pPr>
              <w:pStyle w:val="Style30"/>
              <w:widowControl w:val="false"/>
              <w:spacing w:lineRule="atLeast" w:line="285" w:before="0" w:after="283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2.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Подпункт 4 пункта 3 статьи 1</w:t>
            </w:r>
            <w:r>
              <w:rPr>
                <w:b w:val="false"/>
              </w:rPr>
              <w:t xml:space="preserve"> Федерального закона N 135-ФЗ.</w:t>
            </w:r>
          </w:p>
          <w:p>
            <w:pPr>
              <w:pStyle w:val="Style30"/>
              <w:widowControl w:val="false"/>
              <w:spacing w:lineRule="atLeast" w:line="285" w:before="0" w:after="283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3.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Подпункт "в" пункта 1(1)</w:t>
            </w:r>
            <w:r>
              <w:rPr>
                <w:b w:val="false"/>
              </w:rPr>
              <w:t xml:space="preserve"> Положения.</w:t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142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136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2*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156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283"/>
              <w:ind w:left="60" w:right="60" w:hanging="0"/>
              <w:rPr/>
            </w:pPr>
            <w:r>
              <w:rPr/>
              <w:t>124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3*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177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146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5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151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6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155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7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159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8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164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9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168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10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172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11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177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12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181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13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14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190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15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194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16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199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17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203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18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207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19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212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20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216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21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220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22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225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23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229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24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233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25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238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26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242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27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246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28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251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29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255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30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259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31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264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32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269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33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146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34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151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35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155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36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159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37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164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38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168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39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172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40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177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41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181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42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186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43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190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44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194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45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199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46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203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47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207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48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212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49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216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50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220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51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225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52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229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53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233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54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238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55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242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56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246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57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251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58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255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59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259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60</w:t>
            </w:r>
          </w:p>
        </w:tc>
        <w:tc>
          <w:tcPr>
            <w:tcW w:w="3450" w:type="dxa"/>
            <w:tcBorders>
              <w:right w:val="single" w:sz="2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264 м</w:t>
            </w:r>
          </w:p>
        </w:tc>
        <w:tc>
          <w:tcPr>
            <w:tcW w:w="4080" w:type="dxa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righ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>
                <w:strike w:val="false"/>
                <w:dstrike w:val="false"/>
                <w:color w:val="0000FF"/>
                <w:u w:val="none"/>
                <w:effect w:val="none"/>
              </w:rPr>
              <w:t>Сектор 61</w:t>
            </w:r>
          </w:p>
        </w:tc>
        <w:tc>
          <w:tcPr>
            <w:tcW w:w="345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  <w:t>269 м</w:t>
            </w:r>
          </w:p>
        </w:tc>
        <w:tc>
          <w:tcPr>
            <w:tcW w:w="4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rPr/>
            </w:pPr>
            <w:r>
              <w:rPr/>
            </w:r>
          </w:p>
        </w:tc>
      </w:tr>
    </w:tbl>
    <w:p>
      <w:pPr>
        <w:pStyle w:val="Style18"/>
        <w:widowControl/>
        <w:suppressAutoHyphens w:val="true"/>
        <w:bidi w:val="0"/>
        <w:spacing w:lineRule="atLeast" w:line="285" w:beforeAutospacing="0" w:before="0" w:afterAutospacing="0" w:after="0"/>
        <w:ind w:left="0" w:right="0" w:firstLine="850"/>
        <w:jc w:val="both"/>
        <w:rPr/>
      </w:pPr>
      <w:r>
        <w:rPr>
          <w:rFonts w:ascii="Times New Roman" w:hAnsi="Times New Roman"/>
          <w:b w:val="false"/>
          <w:sz w:val="26"/>
          <w:szCs w:val="26"/>
        </w:rPr>
        <w:t xml:space="preserve">Пятая подзона приаэродромной территории аэродрома гражданской авиации Кострома (Сокеркино): </w:t>
      </w:r>
      <w:r>
        <w:rPr>
          <w:rFonts w:ascii="Times New Roman" w:hAnsi="Times New Roman"/>
          <w:sz w:val="26"/>
          <w:szCs w:val="26"/>
        </w:rPr>
        <w:t xml:space="preserve">  </w:t>
      </w:r>
    </w:p>
    <w:p>
      <w:pPr>
        <w:pStyle w:val="Style18"/>
        <w:spacing w:lineRule="atLeast" w:line="285" w:before="0" w:after="0"/>
        <w:ind w:left="0" w:right="0" w:firstLine="540"/>
        <w:jc w:val="right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Таблица 2.11.4.7</w:t>
      </w:r>
    </w:p>
    <w:tbl>
      <w:tblPr>
        <w:tblW w:w="9075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994"/>
        <w:gridCol w:w="4080"/>
      </w:tblGrid>
      <w:tr>
        <w:trPr/>
        <w:tc>
          <w:tcPr>
            <w:tcW w:w="4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before="0" w:after="283"/>
              <w:ind w:left="60" w:right="60" w:hanging="0"/>
              <w:jc w:val="center"/>
              <w:rPr/>
            </w:pPr>
            <w:r>
              <w:rPr/>
              <w:t>Перечень ограничений использования объектов недвижимости и осуществления деятельности</w:t>
            </w: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before="0" w:after="283"/>
              <w:ind w:left="60" w:right="60" w:hanging="0"/>
              <w:jc w:val="center"/>
              <w:rPr/>
            </w:pPr>
            <w:r>
              <w:rPr/>
              <w:t>Обоснование ограничений</w:t>
            </w:r>
          </w:p>
        </w:tc>
      </w:tr>
      <w:tr>
        <w:trPr/>
        <w:tc>
          <w:tcPr>
            <w:tcW w:w="4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0" w:right="0" w:firstLine="285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1. В границах пятой подзоны запрещается размещать опасные производственные объекты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&lt;6&gt;</w:t>
            </w:r>
            <w:r>
              <w:rPr>
                <w:b w:val="false"/>
              </w:rPr>
              <w:t>, функционирование которых может повлиять на безопасность полетов воздушных судов.</w:t>
            </w:r>
          </w:p>
          <w:p>
            <w:pPr>
              <w:pStyle w:val="Style30"/>
              <w:widowControl w:val="false"/>
              <w:spacing w:lineRule="atLeast" w:line="285" w:before="0" w:after="0"/>
              <w:ind w:left="0" w:right="0" w:firstLine="285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2. В границах пятой подзоны допускается эксплуатация, строительство, реконструкция, капитальный ремонт, техническое перевооружение, консервация (далее - размещение) опасных производственных объектов при их соответствии установленным в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пункте 3</w:t>
            </w:r>
            <w:r>
              <w:rPr>
                <w:b w:val="false"/>
              </w:rPr>
              <w:t xml:space="preserve"> настоящей таблицы ограничениям.</w:t>
            </w:r>
          </w:p>
          <w:p>
            <w:pPr>
              <w:pStyle w:val="Style30"/>
              <w:widowControl w:val="false"/>
              <w:spacing w:lineRule="atLeast" w:line="285" w:before="0" w:after="0"/>
              <w:ind w:left="0" w:right="0" w:firstLine="285"/>
              <w:jc w:val="both"/>
              <w:rPr>
                <w:b w:val="false"/>
              </w:rPr>
            </w:pPr>
            <w:r>
              <w:rPr>
                <w:b w:val="false"/>
              </w:rPr>
              <w:t>3. Максимальные радиусы зон поражения при происшествиях техногенного характера на опасных производственных объектах, находящихся в пятой подзоне, в которых размещение таких объектов возможно, не должны достигать:</w:t>
            </w:r>
          </w:p>
          <w:p>
            <w:pPr>
              <w:pStyle w:val="Style30"/>
              <w:widowControl w:val="false"/>
              <w:spacing w:lineRule="atLeast" w:line="285" w:before="0" w:after="0"/>
              <w:ind w:left="0" w:right="0" w:firstLine="285"/>
              <w:jc w:val="both"/>
              <w:rPr>
                <w:b w:val="false"/>
              </w:rPr>
            </w:pPr>
            <w:r>
              <w:rPr>
                <w:b w:val="false"/>
              </w:rPr>
              <w:t>по вертикали - высоты пролета воздушных судов (высота поверхности ограничения препятствий в третьей подзоне);</w:t>
            </w:r>
          </w:p>
          <w:p>
            <w:pPr>
              <w:pStyle w:val="Style30"/>
              <w:widowControl w:val="false"/>
              <w:spacing w:lineRule="atLeast" w:line="285" w:before="0" w:after="0"/>
              <w:ind w:left="0" w:right="0" w:firstLine="285"/>
              <w:jc w:val="both"/>
              <w:rPr>
                <w:b w:val="false"/>
              </w:rPr>
            </w:pPr>
            <w:r>
              <w:rPr>
                <w:b w:val="false"/>
              </w:rPr>
              <w:t>по горизонтали - внешних границ первой и второй подзон.</w:t>
            </w:r>
          </w:p>
          <w:p>
            <w:pPr>
              <w:pStyle w:val="Style30"/>
              <w:widowControl w:val="false"/>
              <w:spacing w:lineRule="atLeast" w:line="285" w:before="0" w:after="0"/>
              <w:ind w:left="0" w:right="0" w:firstLine="285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4. При невозможности соблюдения ограничений, предусмотренных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пунктом 3</w:t>
            </w:r>
            <w:r>
              <w:rPr>
                <w:b w:val="false"/>
              </w:rPr>
              <w:t xml:space="preserve"> настоящей таблицы, размещение опасных производственных объектов должно выполняться на основании обоснования безопасности опасного производственного объекта, разрабатываемого на основании Федерального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закона</w:t>
            </w:r>
            <w:r>
              <w:rPr>
                <w:b w:val="false"/>
              </w:rPr>
              <w:t xml:space="preserve"> N 116-ФЗ.</w:t>
            </w: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lineRule="atLeast" w:line="285" w:before="0" w:after="283"/>
              <w:ind w:left="60" w:right="60" w:hanging="0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1.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Подпункт 5 пункта 3 статьи 47</w:t>
            </w:r>
            <w:r>
              <w:rPr>
                <w:b w:val="false"/>
              </w:rPr>
              <w:t xml:space="preserve"> Воздушного кодекса Российской Федерации.</w:t>
            </w:r>
          </w:p>
          <w:p>
            <w:pPr>
              <w:pStyle w:val="Style30"/>
              <w:widowControl w:val="false"/>
              <w:spacing w:lineRule="atLeast" w:line="285" w:before="0" w:after="283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2.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Подпункт 5 пункта 3 статьи 1</w:t>
            </w:r>
            <w:r>
              <w:rPr>
                <w:b w:val="false"/>
              </w:rPr>
              <w:t xml:space="preserve"> Федерального закона N 135-ФЗ.</w:t>
            </w:r>
          </w:p>
          <w:p>
            <w:pPr>
              <w:pStyle w:val="Style30"/>
              <w:widowControl w:val="false"/>
              <w:spacing w:lineRule="atLeast" w:line="285" w:before="0" w:after="283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3.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Подпункт "г" пункта 1(1)</w:t>
            </w:r>
            <w:r>
              <w:rPr>
                <w:b w:val="false"/>
              </w:rPr>
              <w:t xml:space="preserve"> Положения.</w:t>
            </w:r>
          </w:p>
          <w:p>
            <w:pPr>
              <w:pStyle w:val="Style30"/>
              <w:widowControl w:val="false"/>
              <w:spacing w:lineRule="atLeast" w:line="285" w:before="0" w:after="283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4.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Пункт 4 статьи 3</w:t>
            </w:r>
            <w:r>
              <w:rPr>
                <w:b w:val="false"/>
              </w:rPr>
              <w:t xml:space="preserve"> Федерального закона N 116-ФЗ.</w:t>
            </w:r>
          </w:p>
        </w:tc>
      </w:tr>
    </w:tbl>
    <w:p>
      <w:pPr>
        <w:pStyle w:val="Style18"/>
        <w:widowControl/>
        <w:suppressAutoHyphens w:val="true"/>
        <w:bidi w:val="0"/>
        <w:spacing w:lineRule="atLeast" w:line="285" w:beforeAutospacing="0" w:before="0" w:afterAutospacing="0" w:after="0"/>
        <w:ind w:left="0" w:right="0" w:firstLine="850"/>
        <w:jc w:val="both"/>
        <w:rPr/>
      </w:pPr>
      <w:r>
        <w:rPr>
          <w:rFonts w:ascii="Times New Roman" w:hAnsi="Times New Roman"/>
          <w:b w:val="false"/>
          <w:sz w:val="26"/>
          <w:szCs w:val="26"/>
        </w:rPr>
        <w:t>Шестая подзона приаэродромной территории аэродрома гражданской авиации Кострома (Сокеркино):</w:t>
      </w:r>
      <w:r>
        <w:rPr/>
        <w:t xml:space="preserve">  </w:t>
      </w:r>
    </w:p>
    <w:p>
      <w:pPr>
        <w:pStyle w:val="Style18"/>
        <w:spacing w:lineRule="atLeast" w:line="285" w:before="0" w:after="0"/>
        <w:ind w:left="0" w:right="0" w:firstLine="540"/>
        <w:jc w:val="right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Таблица 2.11.4.8</w:t>
      </w:r>
    </w:p>
    <w:tbl>
      <w:tblPr>
        <w:tblW w:w="9075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994"/>
        <w:gridCol w:w="4080"/>
      </w:tblGrid>
      <w:tr>
        <w:trPr/>
        <w:tc>
          <w:tcPr>
            <w:tcW w:w="4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before="0" w:after="283"/>
              <w:ind w:left="60" w:right="60" w:hanging="0"/>
              <w:jc w:val="center"/>
              <w:rPr/>
            </w:pPr>
            <w:r>
              <w:rPr/>
              <w:t>Перечень ограничений использования объектов недвижимости и осуществления деятельности</w:t>
            </w: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before="0" w:after="283"/>
              <w:ind w:left="60" w:right="60" w:hanging="0"/>
              <w:jc w:val="center"/>
              <w:rPr/>
            </w:pPr>
            <w:r>
              <w:rPr/>
              <w:t>Обоснование ограничений</w:t>
            </w:r>
          </w:p>
        </w:tc>
      </w:tr>
      <w:tr>
        <w:trPr/>
        <w:tc>
          <w:tcPr>
            <w:tcW w:w="4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0" w:right="0" w:firstLine="285"/>
              <w:jc w:val="both"/>
              <w:rPr>
                <w:b w:val="false"/>
              </w:rPr>
            </w:pPr>
            <w:r>
              <w:rPr>
                <w:b w:val="false"/>
              </w:rPr>
              <w:t>1. В границах шестой подзоны запрещается размещать объекты, способствующие привлечению и массовому скоплению птиц.</w:t>
            </w:r>
          </w:p>
          <w:p>
            <w:pPr>
              <w:pStyle w:val="Style30"/>
              <w:widowControl w:val="false"/>
              <w:spacing w:lineRule="atLeast" w:line="285" w:before="0" w:after="0"/>
              <w:ind w:left="0" w:right="0" w:firstLine="285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2. Допускается размещать в границах шестой подзоны объекты по обращению с твердыми коммунальными отходами, пищевыми и биологическими отходами в случае наличия заключения по результатам орнитологического исследования на предмет отсутствия факторов, способствующих привлечению и массовому скоплению птиц, и (или) достаточности мер защиты указанных объектов от привлечения и массового скопления птиц, проведенного в соответствии с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пунктом 1(4)</w:t>
            </w:r>
            <w:r>
              <w:rPr>
                <w:b w:val="false"/>
              </w:rPr>
              <w:t xml:space="preserve"> Положения.</w:t>
            </w: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lineRule="atLeast" w:line="285" w:before="0" w:after="283"/>
              <w:ind w:left="60" w:right="60" w:hanging="0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1.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Подпункт 6 пункта 3 статьи 47</w:t>
            </w:r>
            <w:r>
              <w:rPr>
                <w:b w:val="false"/>
              </w:rPr>
              <w:t xml:space="preserve"> Воздушного кодекса Российской Федерации.</w:t>
            </w:r>
          </w:p>
          <w:p>
            <w:pPr>
              <w:pStyle w:val="Style30"/>
              <w:widowControl w:val="false"/>
              <w:spacing w:lineRule="atLeast" w:line="285" w:before="0" w:after="283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2.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Подпункт 6 пункта 3 статьи 1</w:t>
            </w:r>
            <w:r>
              <w:rPr>
                <w:b w:val="false"/>
              </w:rPr>
              <w:t xml:space="preserve"> Федерального закона N 135-ФЗ.</w:t>
            </w:r>
          </w:p>
          <w:p>
            <w:pPr>
              <w:pStyle w:val="Style30"/>
              <w:widowControl w:val="false"/>
              <w:spacing w:lineRule="atLeast" w:line="285" w:before="0" w:after="283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3.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Подпункт "д" пункта 1(1)</w:t>
            </w:r>
            <w:r>
              <w:rPr>
                <w:b w:val="false"/>
              </w:rPr>
              <w:t xml:space="preserve">,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пункт 1(4)</w:t>
            </w:r>
            <w:r>
              <w:rPr>
                <w:b w:val="false"/>
              </w:rPr>
              <w:t xml:space="preserve"> Положения.</w:t>
            </w:r>
          </w:p>
        </w:tc>
      </w:tr>
    </w:tbl>
    <w:p>
      <w:pPr>
        <w:pStyle w:val="Style18"/>
        <w:widowControl/>
        <w:suppressAutoHyphens w:val="true"/>
        <w:bidi w:val="0"/>
        <w:spacing w:lineRule="atLeast" w:line="285" w:beforeAutospacing="0" w:before="0" w:afterAutospacing="0" w:after="140"/>
        <w:ind w:left="0" w:right="0" w:firstLine="850"/>
        <w:jc w:val="both"/>
        <w:rPr/>
      </w:pPr>
      <w:r>
        <w:rPr>
          <w:rFonts w:ascii="Times New Roman" w:hAnsi="Times New Roman"/>
          <w:b w:val="false"/>
          <w:sz w:val="26"/>
          <w:szCs w:val="26"/>
        </w:rPr>
        <w:t xml:space="preserve">Седьмая подзона приаэродромной территории аэродрома гражданской авиации Кострома (Сокеркино): </w:t>
      </w:r>
      <w:r>
        <w:rPr>
          <w:rFonts w:ascii="Times New Roman" w:hAnsi="Times New Roman"/>
          <w:sz w:val="26"/>
          <w:szCs w:val="26"/>
        </w:rPr>
        <w:t xml:space="preserve">  </w:t>
      </w:r>
    </w:p>
    <w:tbl>
      <w:tblPr>
        <w:tblW w:w="9075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994"/>
        <w:gridCol w:w="4080"/>
      </w:tblGrid>
      <w:tr>
        <w:trPr/>
        <w:tc>
          <w:tcPr>
            <w:tcW w:w="4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before="0" w:after="283"/>
              <w:ind w:left="60" w:right="60" w:hanging="0"/>
              <w:jc w:val="center"/>
              <w:rPr/>
            </w:pPr>
            <w:r>
              <w:rPr/>
              <w:t>Перечень ограничений использования объектов недвижимости и осуществления деятельности</w:t>
            </w: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before="0" w:after="283"/>
              <w:ind w:left="60" w:right="60" w:hanging="0"/>
              <w:jc w:val="center"/>
              <w:rPr/>
            </w:pPr>
            <w:r>
              <w:rPr/>
              <w:t>Обоснование ограничений</w:t>
            </w:r>
          </w:p>
        </w:tc>
      </w:tr>
      <w:tr>
        <w:trPr/>
        <w:tc>
          <w:tcPr>
            <w:tcW w:w="4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lineRule="auto" w:line="240" w:before="0" w:after="0"/>
              <w:ind w:left="60" w:right="60" w:hanging="0"/>
              <w:jc w:val="both"/>
              <w:rPr>
                <w:b w:val="false"/>
              </w:rPr>
            </w:pPr>
            <w:r>
              <w:rPr>
                <w:b w:val="false"/>
              </w:rPr>
              <w:t>В границах седьмой подзоны ввиду превышения уровня шумового воздействия в зоне запрета строительства нормируемых объектов запрещается размещать:</w:t>
            </w:r>
          </w:p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b w:val="false"/>
              </w:rPr>
            </w:pPr>
            <w:r>
              <w:rPr>
                <w:b w:val="false"/>
              </w:rPr>
              <w:t>а) палаты больниц и санаториев, операционные больниц;</w:t>
            </w:r>
          </w:p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b w:val="false"/>
              </w:rPr>
            </w:pPr>
            <w:r>
              <w:rPr>
                <w:b w:val="false"/>
              </w:rPr>
              <w:t>б) кабинеты врачей поликлиник, амбулаторий, диспансеров, больниц, санаториев;</w:t>
            </w:r>
          </w:p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b w:val="false"/>
              </w:rPr>
            </w:pPr>
            <w:r>
              <w:rPr>
                <w:b w:val="false"/>
              </w:rPr>
              <w:t>в) классные помещения, учебные кабинеты, учительские комнаты, аудитории образовательных организаций, конференц-залы, читальные залы библиотек;</w:t>
            </w:r>
          </w:p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b w:val="false"/>
              </w:rPr>
            </w:pPr>
            <w:r>
              <w:rPr>
                <w:b w:val="false"/>
              </w:rPr>
              <w:t>г) музыкальные классы;</w:t>
            </w:r>
          </w:p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b w:val="false"/>
              </w:rPr>
            </w:pPr>
            <w:r>
              <w:rPr>
                <w:b w:val="false"/>
              </w:rPr>
              <w:t>д) жилые комнаты квартир, домов стационарных организаций социального обслуживания, организации для детей-сирот и детей, оставшихся без попечения родителей, спальные помещения в школах-интернатах, дошкольных образовательных организациях, домов отдыха, пансионатов;</w:t>
            </w:r>
          </w:p>
          <w:p>
            <w:pPr>
              <w:pStyle w:val="Style30"/>
              <w:widowControl w:val="false"/>
              <w:spacing w:lineRule="atLeast" w:line="285" w:before="0" w:after="0"/>
              <w:jc w:val="both"/>
              <w:rPr>
                <w:b w:val="false"/>
              </w:rPr>
            </w:pPr>
            <w:r>
              <w:rPr>
                <w:b w:val="false"/>
              </w:rPr>
              <w:t>е) жилые комнаты общежитий и номера гостиниц;</w:t>
            </w:r>
          </w:p>
          <w:p>
            <w:pPr>
              <w:pStyle w:val="Style30"/>
              <w:widowControl w:val="false"/>
              <w:spacing w:lineRule="atLeast" w:line="285" w:before="0" w:after="0"/>
              <w:jc w:val="both"/>
              <w:rPr>
                <w:b w:val="false"/>
              </w:rPr>
            </w:pPr>
            <w:r>
              <w:rPr>
                <w:b w:val="false"/>
              </w:rPr>
              <w:t>ж) территории, непосредственно прилегающие к зданиям больниц и санаториев;</w:t>
            </w:r>
          </w:p>
          <w:p>
            <w:pPr>
              <w:pStyle w:val="Style30"/>
              <w:widowControl w:val="false"/>
              <w:spacing w:lineRule="atLeast" w:line="285" w:before="0" w:after="0"/>
              <w:jc w:val="both"/>
              <w:rPr>
                <w:b w:val="false"/>
              </w:rPr>
            </w:pPr>
            <w:r>
              <w:rPr>
                <w:b w:val="false"/>
              </w:rPr>
              <w:t>з) территории, непосредственно прилегающие к зданиям жилых домов, домов отдыха, пансионатов, домов-интернатов для престарелых и инвалидов, дошкольных образовательных организаций и других образовательных организаций;</w:t>
            </w:r>
          </w:p>
          <w:p>
            <w:pPr>
              <w:pStyle w:val="Style30"/>
              <w:widowControl w:val="false"/>
              <w:spacing w:lineRule="atLeast" w:line="285" w:before="0" w:after="0"/>
              <w:jc w:val="both"/>
              <w:rPr>
                <w:b w:val="false"/>
              </w:rPr>
            </w:pPr>
            <w:r>
              <w:rPr>
                <w:b w:val="false"/>
              </w:rPr>
              <w:t>и) территории, непосредственно прилегающие к зданиям гостиниц и общежитий;</w:t>
            </w:r>
          </w:p>
          <w:p>
            <w:pPr>
              <w:pStyle w:val="Style30"/>
              <w:widowControl w:val="false"/>
              <w:spacing w:lineRule="atLeast" w:line="285" w:before="0" w:after="0"/>
              <w:jc w:val="both"/>
              <w:rPr>
                <w:b w:val="false"/>
              </w:rPr>
            </w:pPr>
            <w:r>
              <w:rPr>
                <w:b w:val="false"/>
              </w:rPr>
              <w:t>к) площадки отдыха, функционально выделенные на территории микрорайонов и групп жилых домов, домов отдыха, пансионатов, стационарных организаций социального обслуживания, организаций для детей-сирот и детей, оставшихся без попечения родителей, площадки дошкольных образовательных организаций и других образовательных организаций.</w:t>
            </w: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0"/>
              <w:widowControl w:val="false"/>
              <w:spacing w:lineRule="atLeast" w:line="285" w:before="0" w:after="0"/>
              <w:ind w:left="60" w:right="60" w:hanging="0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1.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Подпункт 7 пункта 3 статьи 47</w:t>
            </w:r>
            <w:r>
              <w:rPr>
                <w:b w:val="false"/>
              </w:rPr>
              <w:t xml:space="preserve"> Воздушного кодекса Российской Федерации.</w:t>
            </w:r>
          </w:p>
          <w:p>
            <w:pPr>
              <w:pStyle w:val="Style30"/>
              <w:widowControl w:val="false"/>
              <w:spacing w:lineRule="atLeast" w:line="285" w:before="0" w:after="0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2.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Подпункт 7 пункта 3 статьи 1</w:t>
            </w:r>
            <w:r>
              <w:rPr>
                <w:b w:val="false"/>
              </w:rPr>
              <w:t xml:space="preserve"> Федерального закона N 135-ФЗ.</w:t>
            </w:r>
          </w:p>
          <w:p>
            <w:pPr>
              <w:pStyle w:val="Style30"/>
              <w:widowControl w:val="false"/>
              <w:spacing w:lineRule="atLeast" w:line="285" w:before="0" w:after="0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3.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Подпункт "е" пункта 1(1)</w:t>
            </w:r>
            <w:r>
              <w:rPr>
                <w:b w:val="false"/>
              </w:rPr>
              <w:t xml:space="preserve"> Положения.</w:t>
            </w:r>
          </w:p>
          <w:p>
            <w:pPr>
              <w:pStyle w:val="Style30"/>
              <w:widowControl w:val="false"/>
              <w:spacing w:lineRule="atLeast" w:line="285" w:before="0" w:after="0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4.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Пункт 4 статьи 1</w:t>
            </w:r>
            <w:r>
              <w:rPr>
                <w:b w:val="false"/>
              </w:rPr>
              <w:t xml:space="preserve">,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пункт 7 статьи 30</w:t>
            </w:r>
            <w:r>
              <w:rPr>
                <w:b w:val="false"/>
              </w:rPr>
              <w:t xml:space="preserve"> Градостроительного кодекса Российской Федерации.</w:t>
            </w:r>
          </w:p>
          <w:p>
            <w:pPr>
              <w:pStyle w:val="Style30"/>
              <w:widowControl w:val="false"/>
              <w:spacing w:lineRule="atLeast" w:line="285" w:before="0" w:after="0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5.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Пункт 1 статьи 23</w:t>
            </w:r>
            <w:r>
              <w:rPr>
                <w:b w:val="false"/>
              </w:rPr>
              <w:t xml:space="preserve"> Федерального закона от 30 марта 1999 г. N 52-ФЗ "О санитарно-эпидемиологическом благополучии населения".</w:t>
            </w:r>
          </w:p>
          <w:p>
            <w:pPr>
              <w:pStyle w:val="Style30"/>
              <w:widowControl w:val="false"/>
              <w:spacing w:lineRule="atLeast" w:line="285" w:before="0" w:after="0"/>
              <w:jc w:val="both"/>
              <w:rPr>
                <w:b w:val="false"/>
              </w:rPr>
            </w:pPr>
            <w:r>
              <w:rPr>
                <w:b w:val="false"/>
              </w:rPr>
              <w:t xml:space="preserve">6. Санитарные </w:t>
            </w:r>
            <w:r>
              <w:rPr>
                <w:b w:val="false"/>
                <w:strike w:val="false"/>
                <w:dstrike w:val="false"/>
                <w:color w:val="0000FF"/>
                <w:u w:val="none"/>
                <w:effect w:val="none"/>
              </w:rPr>
              <w:t>правила</w:t>
            </w:r>
            <w:r>
              <w:rPr>
                <w:b w:val="false"/>
              </w:rPr>
              <w:t xml:space="preserve"> и нормы СанПиН 1.2.3685-21 "Гигиенические нормативы и требования к обеспечению безопасности и (или) безвредности для человека факторов среды обитания", утвержденные постановлением N 2.</w:t>
            </w:r>
          </w:p>
        </w:tc>
      </w:tr>
    </w:tbl>
    <w:p>
      <w:pPr>
        <w:pStyle w:val="Normal"/>
        <w:tabs>
          <w:tab w:val="clear" w:pos="720"/>
          <w:tab w:val="left" w:pos="8205" w:leader="none"/>
        </w:tabs>
        <w:spacing w:lineRule="auto" w:line="240" w:before="0" w:after="0"/>
        <w:ind w:firstLine="851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»;</w:t>
      </w:r>
    </w:p>
    <w:p>
      <w:pPr>
        <w:pStyle w:val="Normal"/>
        <w:tabs>
          <w:tab w:val="clear" w:pos="720"/>
          <w:tab w:val="left" w:pos="8205" w:leader="none"/>
        </w:tabs>
        <w:spacing w:lineRule="auto" w:line="240" w:before="0" w:after="0"/>
        <w:ind w:firstLine="851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1.1.5. Раздел 2.11.5 изложить в следующей редакции:</w:t>
      </w:r>
    </w:p>
    <w:p>
      <w:pPr>
        <w:pStyle w:val="Normal"/>
        <w:numPr>
          <w:ilvl w:val="0"/>
          <w:numId w:val="0"/>
        </w:numPr>
        <w:spacing w:before="0" w:after="0"/>
        <w:ind w:left="0" w:hanging="0"/>
        <w:jc w:val="center"/>
        <w:outlineLvl w:val="2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bookmarkStart w:id="0" w:name="_Toc23262616"/>
      <w:r>
        <w:rPr>
          <w:rFonts w:eastAsia="Calibri" w:cs="Times New Roman" w:ascii="Times New Roman" w:hAnsi="Times New Roman" w:eastAsiaTheme="minorHAnsi"/>
          <w:b/>
          <w:bCs/>
          <w:color w:val="auto"/>
          <w:kern w:val="0"/>
          <w:sz w:val="26"/>
          <w:szCs w:val="26"/>
          <w:lang w:val="ru-RU" w:eastAsia="en-US" w:bidi="ar-SA"/>
        </w:rPr>
        <w:t>2.11.5. Зоны затопления, подтопления и заболачивания территории</w:t>
      </w:r>
      <w:bookmarkEnd w:id="0"/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Часть территории города расположена в Костромской низине, которая в настоящее время защищена комплексом гидротехнических сооружений от затопления и подтопления в результате строительства Горьковского водохранилища. Уровень воды Горьковского водохранилища регулируется Нижегородским гидроузлом. Уровневый режим Костромской низины регулируется гидроузлом (насосной станцией) дамбы судоверфи в городе Костроме.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В случае возникновения неблагоприятных природных процессов, а также при возникновении аварийных ситуаций, например, сбросе воды на Рыбинском водохранилище, возможно затопление, подтопление и заболачивание (при длительном стоянии воды на поверхности) части территорий города, как следствие подъёма уровня реки Волги и разлива малых рек, находящихся на территории города.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Территория, требующая защиты от затопления и подтопления в случае разлива Горьковского водохранилища, включает в себя земли посёлков Первомайский, Северный, Ипатьевская слобода, совхоза Волжский. Основными районами города, требующими защиты от заболачивания и подтопления по данным инженерно-геологического районирования являются: территория Ипатьевской слободы, включающей в себя «Музей деревянного зодчества», район Трудовой слободы и Рабочей слободы и селитебные территории, находящиеся между пос. Первомайский и пос. Ребровка, которые являются частью Костромской низины, а также территория между пос. Фанерник и промышленной зоной; правобережная часть территории от ул. Ярославской, включая пос. Козелино вверх по течению реки Волги; территория по берегам рек Волги, Чёрной, Кубани.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Общая площадь, в границах города Костромы при сбросе воды на Рыбинском водохранилище составляет: возможного подтопления - 6700 га, возможного затопления – 5342 га.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Границы затопления и подтопления города Костромы в результате весенего паводка показаны в соответствии с проектом разработанным ООО институтом «Гипроводхоз» в 2019 году.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Проект «Определение границ зон затопления и подтопления на территории города Костромы выполнен в границах зон затопления и подтопления с максимальным уровнем весеннего паводка 1%, 3%, 5%. 10%. 25%, 50% обеспеченности на реках Баклановка, Игументка, Ключовка, Коряковка, Кострома, Кострома нижняя, Крячёвка, Ребровка, Солонка, Чёрная, ручьи Грязки и без названия.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Границы зон затопления и подтопления паводковыми водами нанесены на «Карту территорий, подверженных риску возникновения чрезвычайных ситуаций природного и техногенного характера» в соответствии с принятыми условными обозначениями проекта ООО «Гипроводхоз», а также отражены на Карте ограничения использования территорий.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Style w:val="Msg-body-block"/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Зона умеренного подтопления при глубине залегания грунтовых вод от 0,3 - 0,7 до 1,2 - 2 метров на территории городского округа г. Костромы и населенных пунктов Костромского муниципального района в соответствии с ген. планом с учетом перспективной застройки, р. Баклановка. Земельный участок полностью расположен в границах зоны с особыми условиями использования территории, площадь земельного участка, покрываемая зоной с особыми условиями использования территории, составляет «575» кв. м. Зона устанавливается в соответствии со статьей 67.1 Водного кодекса Российской Федерации, постановлением Правительства Российской Федерации от 18 апреля 2014 года № 360 «Об определении границ зон затопления, подтопления», приказом Федерального агентства водных ресурсов (Росводресурсы) от 27 декабря 2019 года № 443 «Об установлении зон затопления, подтопления реками бассейна реки Волга в границах городского округа город Кострома на территории Костромской области».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Style w:val="Msg-body-block"/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Работы в зоне затопления, подтопления должны выполняться с соблюдением действующих санитарных правил, гигиенических нормативов, строительных норм и правил и государственных стандартов.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Style w:val="Msg-body-block"/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В границах зон затопления, подтопления запрещаются: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Style w:val="Msg-body-block"/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- 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вод;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Style w:val="Msg-body-block"/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- использование сточных вод в целях регулирования плодородия почв;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Style w:val="Msg-body-block"/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 xml:space="preserve">- </w:t>
      </w:r>
      <w:r>
        <w:rPr>
          <w:rStyle w:val="Msg-body-block"/>
          <w:rFonts w:eastAsia="Calibri" w:cs="Times New Roman" w:ascii="Times New Roman" w:hAnsi="Times New Roman" w:eastAsiaTheme="minorHAnsi"/>
          <w:b w:val="false"/>
          <w:color w:val="auto"/>
          <w:kern w:val="0"/>
          <w:sz w:val="26"/>
          <w:szCs w:val="26"/>
          <w:lang w:val="ru-RU" w:eastAsia="en-US" w:bidi="ar-SA"/>
        </w:rPr>
        <w:t>размещение кладбищ, объектов уничтожения биологических отходов, объектов размещения отходов производства и потребления, химических, взрывчатых, токсичных, отравляющих веществ, пунктов хранения и захоронения радиоактивных отходов;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Style w:val="Msg-body-block"/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- осуществление авиационных мер по борьбе с вредными организмами.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Style w:val="Msg-body-block"/>
          <w:rFonts w:eastAsia="Calibri" w:cs="Times New Roman" w:ascii="Times New Roman" w:hAnsi="Times New Roman" w:eastAsiaTheme="minorHAnsi"/>
          <w:b w:val="false"/>
          <w:bCs/>
          <w:color w:val="auto"/>
          <w:kern w:val="0"/>
          <w:sz w:val="26"/>
          <w:szCs w:val="26"/>
          <w:lang w:val="ru-RU" w:eastAsia="en-US" w:bidi="ar-SA"/>
        </w:rPr>
        <w:t>Инженерная защита территорий и объектов от негативного воздействия вод (строительство водоограждающих дамб, берегоукрепительных сооружений и других сооружений инженерной защиты, предназначенных для защиты территорий и объектов от затопления, подтопления, разрушения берегов водных объектов, и (или) методы инженерной защиты, в том числе искусственное повышение поверхности территорий, устройство свайных фундаментов и другие методы инженерной защиты)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самоуправления, уполномоченными на выдачу разрешений на строительство в соответствии с законодательством Российской Федерации о градостроительной деятельности, юридическими и физическими лицами - правообладателями земельных участков, в отношении которых осуществляется такая защита.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Style w:val="Msg-body-block"/>
          <w:rFonts w:eastAsia="Calibri" w:cs="Times New Roman" w:ascii="Times New Roman" w:hAnsi="Times New Roman" w:eastAsiaTheme="minorHAnsi"/>
          <w:b w:val="false"/>
          <w:bCs/>
          <w:color w:val="auto"/>
          <w:kern w:val="0"/>
          <w:sz w:val="26"/>
          <w:szCs w:val="26"/>
          <w:lang w:val="ru-RU" w:eastAsia="en-US" w:bidi="ar-SA"/>
        </w:rPr>
        <w:t xml:space="preserve">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порядке, установленном земельным законодательством и гражданским законодательством. 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Style w:val="Msg-body-block"/>
          <w:rFonts w:eastAsia="Calibri" w:cs="Times New Roman" w:ascii="Times New Roman" w:hAnsi="Times New Roman" w:eastAsiaTheme="minorHAnsi"/>
          <w:b w:val="false"/>
          <w:bCs/>
          <w:color w:val="auto"/>
          <w:kern w:val="0"/>
          <w:sz w:val="26"/>
          <w:szCs w:val="26"/>
          <w:lang w:val="ru-RU" w:eastAsia="en-US" w:bidi="ar-SA"/>
        </w:rPr>
        <w:t>На территории городского округа город Кострома расположено 9 гидротехническх сооружений, 5 из которых имеет расчет вероятного вреда, который может быть причинен жизни, здоровью физических лиц, имущесству физических и юридических лиц в результате авариии гидротехнического сооружения.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Style w:val="Msg-body-block"/>
          <w:rFonts w:eastAsia="Calibri" w:cs="Times New Roman" w:ascii="Times New Roman" w:hAnsi="Times New Roman" w:eastAsiaTheme="minorHAnsi"/>
          <w:b w:val="false"/>
          <w:bCs/>
          <w:color w:val="auto"/>
          <w:kern w:val="0"/>
          <w:sz w:val="26"/>
          <w:szCs w:val="26"/>
          <w:lang w:val="ru-RU" w:eastAsia="en-US" w:bidi="ar-SA"/>
        </w:rPr>
        <w:t xml:space="preserve">Гидротехнические сооружения находятся в оперативном управлении МКУ г. Костромы «Центр граджданской защиты города Костромы». По итогам проведенного обследования уровень безопасности гидротехнических сооружений пониженный или нормальный. 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Style w:val="Msg-body-block"/>
          <w:rFonts w:eastAsia="Calibri" w:cs="Times New Roman" w:ascii="Times New Roman" w:hAnsi="Times New Roman" w:eastAsiaTheme="minorHAnsi"/>
          <w:b w:val="false"/>
          <w:bCs/>
          <w:color w:val="auto"/>
          <w:kern w:val="0"/>
          <w:sz w:val="26"/>
          <w:szCs w:val="26"/>
          <w:lang w:val="ru-RU" w:eastAsia="en-US" w:bidi="ar-SA"/>
        </w:rPr>
        <w:t>Кроме того, территорию города Костромы от негативного воздействия вод защищает комплекс защитных сооружений Костромской низины, находящийся в федеральной собственности. Эксплуатирующая организация — филиал «Защитные сооружения Костромской низины» Федерального государственного бюджетного водохозяйственного учреждения «Центррегионводхоз».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>
          <w:rStyle w:val="Msg-body-block"/>
          <w:rFonts w:ascii="Times New Roman" w:hAnsi="Times New Roman" w:eastAsia="Calibri" w:cs="Times New Roman" w:eastAsiaTheme="minorHAnsi"/>
          <w:b w:val="false"/>
          <w:bCs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eastAsiaTheme="minorHAnsi" w:ascii="Times New Roman" w:hAnsi="Times New Roman"/>
          <w:b w:val="false"/>
          <w:bCs/>
          <w:color w:val="auto"/>
          <w:kern w:val="0"/>
          <w:sz w:val="26"/>
          <w:szCs w:val="26"/>
          <w:lang w:val="ru-RU" w:eastAsia="en-US" w:bidi="ar-SA"/>
        </w:rPr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Fonts w:eastAsia="Calibri" w:cs="Times New Roman" w:ascii="Times New Roman" w:hAnsi="Times New Roman" w:eastAsiaTheme="minorHAnsi"/>
          <w:b/>
          <w:bCs/>
          <w:color w:val="auto"/>
          <w:kern w:val="0"/>
          <w:sz w:val="26"/>
          <w:szCs w:val="26"/>
          <w:lang w:val="ru-RU" w:eastAsia="en-US" w:bidi="ar-SA"/>
        </w:rPr>
        <w:t>Мероприятия по защите территории от затопления и подтопления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eastAsiaTheme="minorHAnsi" w:ascii="Times New Roman" w:hAnsi="Times New Roman"/>
          <w:color w:val="auto"/>
          <w:kern w:val="0"/>
          <w:sz w:val="26"/>
          <w:szCs w:val="26"/>
          <w:lang w:val="ru-RU" w:eastAsia="en-US" w:bidi="ar-SA"/>
        </w:rPr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Защитные мероприятия на подтопляемых, затопляемых и заболачиваемых территориях включают в себя: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- выполнение строительства с учётом подсыпки грунта до отметок паводка 1% обеспеченности;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- чёткую организацию поверхностного стока путём выполнения вертикальной планировки территории;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- прокладку закрытых водостоков;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- устройство локальных дренажных систем (кольцевых и пристенных дренажей вокруг зданий и сооружений, и попутных – вдоль коммуникаций;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- ликвидацию утечек из водонесущих инженерных коммуникаций и ёмкостей;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- организацию надежного отвода грунтовых вод.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Кроме того, необходимо вести регулярный контроль над состоянием всех существующих дамб и обвалований, периодически проводить очистку существующей сети каналов и прудов от заиливания, выполнить строительство открытой осушительной сети для ликвидации заболоченных участков.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Учитывая площадь затапливаемой и подтапливаемой территории, проектируемую застройку и возможный уровень воды, в качестве мероприятий применить метод искусственного повышения рельефа территории до незатопляемых планировочных отметок, в соответствии с СП 104.13330.2016 Свод правил. Инженерная защита территории от затопления и подтопления. Актуализированная редакция СНиП 2.6.15-85.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 xml:space="preserve">При защите территории от затопления подсыпкой отметку бровки берегового откоса территории следует определять в соответствии с требованиями п. 5.12 СП 38.13330.2012 «Свод правил. Плотины из грунтовых материалов» и принимать не менее чем на 0,5 м. выше расчётного уровня воды, с учётом расчётной высоты волны и её наката. 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При выборе технологии работ по искусственному повышению поверхности территории путём отсыпки грунта или намыва необходимо предусматривать перемещение грунтовых масс с не затапливаемых участков коренного берега или поймы на затапливаемые. При дефиците грунтов надлежит использовать полезные выемки при углублении русел рек для целей судоходства, расчистки и благоустройства стариц, протоков и других водоёмов, расположенных на защищаемой территории либо вблизи её.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Для обеспечения защиты зданий и сооружений от подтопления грунтовыми водами предусматривается система дренажа. Целесообразно предусмотреть откачку дренажных вод из находящихся ниже уровня планировочной отметки земли помещений зданий и подземных сооружений со сбросом её в дренажную сеть. Пропускная способность системы дренажа должна рассчитываться с учётом приёма максимального количества дренажных вод.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Повышение грунтовых вод изменяет гидрогеологические свойства и несущую способность почв, для обеспечения необходимой устойчивости и безопасности проектируемых зданий и сооружений должны предусматриваться такие мероприятия как гидроизоляция фундаментов, использование свай, сплошной (плитный) фундамент.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eastAsiaTheme="minorHAnsi" w:ascii="Times New Roman" w:hAnsi="Times New Roman"/>
          <w:color w:val="auto"/>
          <w:kern w:val="0"/>
          <w:sz w:val="26"/>
          <w:szCs w:val="26"/>
          <w:lang w:val="ru-RU" w:eastAsia="en-US" w:bidi="ar-SA"/>
        </w:rPr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eastAsiaTheme="minorHAnsi" w:ascii="Times New Roman" w:hAnsi="Times New Roman"/>
          <w:color w:val="auto"/>
          <w:kern w:val="0"/>
          <w:sz w:val="26"/>
          <w:szCs w:val="26"/>
          <w:lang w:val="ru-RU" w:eastAsia="en-US" w:bidi="ar-SA"/>
        </w:rPr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center"/>
        <w:rPr>
          <w:b/>
          <w:bCs/>
        </w:rPr>
      </w:pPr>
      <w:r>
        <w:rPr>
          <w:rFonts w:eastAsia="Calibri" w:cs="Times New Roman" w:ascii="Times New Roman" w:hAnsi="Times New Roman" w:eastAsiaTheme="minorHAnsi"/>
          <w:b/>
          <w:bCs/>
          <w:color w:val="auto"/>
          <w:kern w:val="0"/>
          <w:sz w:val="26"/>
          <w:szCs w:val="26"/>
          <w:lang w:val="ru-RU" w:eastAsia="en-US" w:bidi="ar-SA"/>
        </w:rPr>
        <w:t>Берегоукрепление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eastAsiaTheme="minorHAnsi" w:ascii="Times New Roman" w:hAnsi="Times New Roman"/>
          <w:color w:val="auto"/>
          <w:kern w:val="0"/>
          <w:sz w:val="26"/>
          <w:szCs w:val="26"/>
          <w:lang w:val="ru-RU" w:eastAsia="en-US" w:bidi="ar-SA"/>
        </w:rPr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После наполнения Горьковского и Костромского водохранилищ и подъёма уровня воды в реках Волга и Кострома в результате водного и волнового воздействия происходит разрушение береговой линии в черте города Костромы. На существующих берегоукрепительных сооружениях из железобетонных плит и монолитного железобетона наблюдаются повреждения, разрушения покрытий, размыв подготовки под покрытие.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В качестве мероприятий по берегоукреплению необходимо предусмотреть комплекс мер по защите от разрушения берегов путём устройства набережных и других берегоукрепительных сооружений. Защиту береговой линии от размыва следует выполнять с помощью искусственных сооружений (волнозащитных и волногасящих).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6"/>
          <w:szCs w:val="26"/>
          <w:lang w:val="ru-RU" w:eastAsia="en-US" w:bidi="ar-SA"/>
        </w:rPr>
        <w:t>Также необходимо проводить мониторинг технического состояния берегоукрепительных сооружений и при обнаружении каких-либо дефектов, проводить их своевременный ремонт.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>
          <w:rFonts w:eastAsia="Calibri" w:eastAsiaTheme="minorHAnsi"/>
          <w:highlight w:val="none"/>
          <w:shd w:fill="auto" w:val="clear"/>
        </w:rPr>
      </w:pPr>
      <w:r>
        <w:rPr>
          <w:rFonts w:eastAsia="Calibri" w:cs="Times New Roman" w:ascii="Times New Roman" w:hAnsi="Times New Roman" w:eastAsiaTheme="minorHAnsi"/>
          <w:color w:val="000000"/>
          <w:kern w:val="0"/>
          <w:sz w:val="26"/>
          <w:szCs w:val="26"/>
          <w:shd w:fill="auto" w:val="clear"/>
          <w:lang w:val="ru-RU" w:eastAsia="en-US" w:bidi="ar-SA"/>
        </w:rPr>
        <w:t>При реализации проекта изменений Генерального плана предлагается дополнительно выполнить берегоукрепительные работы на следующих участках: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Fonts w:eastAsia="Calibri" w:cs="Times New Roman" w:ascii="Times New Roman" w:hAnsi="Times New Roman" w:eastAsiaTheme="minorHAnsi"/>
          <w:color w:val="000000"/>
          <w:kern w:val="0"/>
          <w:sz w:val="26"/>
          <w:szCs w:val="26"/>
          <w:shd w:fill="auto" w:val="clear"/>
          <w:lang w:val="ru-RU" w:eastAsia="en-US" w:bidi="ar-SA"/>
        </w:rPr>
        <w:t>- выполнить ремонт, реконтсрукцию берегоукрепления правого берега Горьковского водохранилища на участке 598-599 км судового хода;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highlight w:val="none"/>
          <w:shd w:fill="auto" w:val="clear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000000"/>
          <w:kern w:val="0"/>
          <w:sz w:val="26"/>
          <w:szCs w:val="26"/>
          <w:shd w:fill="auto" w:val="clear"/>
          <w:lang w:val="ru-RU" w:eastAsia="en-US" w:bidi="ar-SA"/>
        </w:rPr>
        <w:t>- обустроить набережную от улицы Чайковского до городского пляжа протяженностью 360 м;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highlight w:val="none"/>
          <w:shd w:fill="auto" w:val="clear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000000"/>
          <w:kern w:val="0"/>
          <w:sz w:val="26"/>
          <w:szCs w:val="26"/>
          <w:shd w:fill="auto" w:val="clear"/>
          <w:lang w:val="ru-RU" w:eastAsia="en-US" w:bidi="ar-SA"/>
        </w:rPr>
        <w:t>- предусмотреть строительство берегоукрепления: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highlight w:val="none"/>
          <w:shd w:fill="auto" w:val="clear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000000"/>
          <w:kern w:val="0"/>
          <w:sz w:val="26"/>
          <w:szCs w:val="26"/>
          <w:shd w:fill="auto" w:val="clear"/>
          <w:lang w:val="ru-RU" w:eastAsia="en-US" w:bidi="ar-SA"/>
        </w:rPr>
        <w:t>- на левом берегу Горьковского водохранилища на участке 600 км судового хода;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Fonts w:eastAsia="Calibri" w:cs="Times New Roman" w:ascii="Times New Roman" w:hAnsi="Times New Roman" w:eastAsiaTheme="minorHAnsi"/>
          <w:color w:val="000000"/>
          <w:kern w:val="0"/>
          <w:sz w:val="26"/>
          <w:szCs w:val="26"/>
          <w:shd w:fill="auto" w:val="clear"/>
          <w:lang w:val="ru-RU" w:eastAsia="en-US" w:bidi="ar-SA"/>
        </w:rPr>
        <w:t>-  на правом берегу Горьковского водохранилища (район поселка Селище до существующего берегоукрепления в районе завода ООО "Экско");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Fonts w:eastAsia="Calibri" w:cs="Times New Roman" w:ascii="Times New Roman" w:hAnsi="Times New Roman" w:eastAsiaTheme="minorHAnsi"/>
          <w:color w:val="000000"/>
          <w:kern w:val="0"/>
          <w:sz w:val="26"/>
          <w:szCs w:val="26"/>
          <w:shd w:fill="auto" w:val="clear"/>
          <w:lang w:val="ru-RU" w:eastAsia="en-US" w:bidi="ar-SA"/>
        </w:rPr>
        <w:t>- на правый берег реки Волги (в районе существующего пляжа) до автопешеходного моста протяженностью 1460 м;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Fonts w:eastAsia="Calibri" w:cs="Times New Roman" w:ascii="Times New Roman" w:hAnsi="Times New Roman" w:eastAsiaTheme="minorHAnsi"/>
          <w:color w:val="000000"/>
          <w:kern w:val="0"/>
          <w:sz w:val="26"/>
          <w:szCs w:val="26"/>
          <w:shd w:fill="auto" w:val="clear"/>
          <w:lang w:val="ru-RU" w:eastAsia="en-US" w:bidi="ar-SA"/>
        </w:rPr>
        <w:t>- от улицы Молочная гора до автопешеходного моста через реку Кострому и далее в районе улицы Запрудня протяженностью 4710 м;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/>
      </w:pPr>
      <w:r>
        <w:rPr>
          <w:rFonts w:eastAsia="Calibri" w:cs="Times New Roman" w:ascii="Times New Roman" w:hAnsi="Times New Roman" w:eastAsiaTheme="minorHAnsi"/>
          <w:color w:val="000000"/>
          <w:kern w:val="0"/>
          <w:sz w:val="26"/>
          <w:szCs w:val="26"/>
          <w:shd w:fill="auto" w:val="clear"/>
          <w:lang w:val="ru-RU" w:eastAsia="en-US" w:bidi="ar-SA"/>
        </w:rPr>
        <w:t>- на правом берегу от автопешеходного моста до железнодорожного моста протяженностью 1260 м;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0" w:right="0" w:firstLine="794"/>
        <w:jc w:val="both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highlight w:val="none"/>
          <w:shd w:fill="auto" w:val="clear"/>
          <w:lang w:val="ru-RU" w:eastAsia="en-US" w:bidi="ar-SA"/>
        </w:rPr>
      </w:pPr>
      <w:r>
        <w:rPr>
          <w:rFonts w:eastAsia="Calibri" w:cs="Times New Roman" w:ascii="Times New Roman" w:hAnsi="Times New Roman" w:eastAsiaTheme="minorHAnsi"/>
          <w:color w:val="000000"/>
          <w:kern w:val="0"/>
          <w:sz w:val="26"/>
          <w:szCs w:val="26"/>
          <w:shd w:fill="auto" w:val="clear"/>
          <w:lang w:val="ru-RU" w:eastAsia="en-US" w:bidi="ar-SA"/>
        </w:rPr>
        <w:t>- на левом берегу от реки Чёрная до железнодорожного моста протяженностью 930 м.».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57" w:right="0" w:firstLine="680"/>
        <w:jc w:val="both"/>
        <w:rPr/>
      </w:pPr>
      <w:r>
        <w:rPr>
          <w:rFonts w:ascii="Times New Roman" w:hAnsi="Times New Roman"/>
          <w:strike w:val="false"/>
          <w:dstrike w:val="false"/>
          <w:sz w:val="26"/>
          <w:szCs w:val="26"/>
          <w:shd w:fill="auto" w:val="clear"/>
        </w:rPr>
        <w:t>1.2. дополнить том VI «Материалы по обоснованию изменений Генерального плана города Костромы. Приложения» п</w:t>
      </w:r>
      <w:r>
        <w:rPr>
          <w:rFonts w:eastAsia="Calibri" w:cs="Times New Roman" w:ascii="Times New Roman" w:hAnsi="Times New Roman" w:eastAsiaTheme="minorHAnsi"/>
          <w:strike w:val="false"/>
          <w:dstrike w:val="false"/>
          <w:color w:val="000000"/>
          <w:kern w:val="0"/>
          <w:sz w:val="26"/>
          <w:szCs w:val="26"/>
          <w:shd w:fill="auto" w:val="clear"/>
          <w:lang w:val="ru-RU" w:eastAsia="en-US" w:bidi="ar-SA"/>
        </w:rPr>
        <w:t>риказом Росавиации от 27.02.2024 № 206-П «Об установлении приаэродромной территории аэродрома гражданской авиации Кострома (Сокеркино)»;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57" w:right="0" w:firstLine="68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 карту ограничений использования территорий изложить в новой редакции согласно приложению 1 к проекту изменений Материалов по обоснованию в Генеральный план города Костромы;</w:t>
      </w:r>
    </w:p>
    <w:p>
      <w:pPr>
        <w:pStyle w:val="Normal"/>
        <w:widowControl/>
        <w:suppressAutoHyphens w:val="true"/>
        <w:bidi w:val="0"/>
        <w:spacing w:lineRule="auto" w:line="259" w:beforeAutospacing="0" w:before="0" w:afterAutospacing="0" w:after="0"/>
        <w:ind w:left="57" w:right="0" w:firstLine="68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1.4. карту особо охраняемых природных территорий и городской системы озеленения изложить в новой редакции согласно приложению 2 к проекту изменений Материалов по обоснованию в Генеральный план города Костромы.</w:t>
      </w:r>
    </w:p>
    <w:p>
      <w:pPr>
        <w:pStyle w:val="Normal"/>
        <w:spacing w:before="0" w:after="160"/>
        <w:ind w:left="-142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sectPr>
      <w:type w:val="nextPage"/>
      <w:pgSz w:w="11906" w:h="16838"/>
      <w:pgMar w:left="1485" w:right="707" w:gutter="0" w:header="0" w:top="567" w:footer="0" w:bottom="426"/>
      <w:pgNumType w:start="2"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Segoe U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ambri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/>
    </w:lvl>
    <w:lvl w:ilvl="1">
      <w:start w:val="1"/>
      <w:numFmt w:val="decimal"/>
      <w:lvlText w:val="%2."/>
      <w:lvlJc w:val="left"/>
      <w:pPr>
        <w:tabs>
          <w:tab w:val="num" w:pos="1137"/>
        </w:tabs>
        <w:ind w:left="1137" w:hanging="360"/>
      </w:pPr>
      <w:rPr/>
    </w:lvl>
    <w:lvl w:ilvl="2">
      <w:start w:val="1"/>
      <w:numFmt w:val="decimal"/>
      <w:lvlText w:val="%3."/>
      <w:lvlJc w:val="left"/>
      <w:pPr>
        <w:tabs>
          <w:tab w:val="num" w:pos="1497"/>
        </w:tabs>
        <w:ind w:left="1497" w:hanging="360"/>
      </w:pPr>
      <w:rPr/>
    </w:lvl>
    <w:lvl w:ilvl="3">
      <w:start w:val="1"/>
      <w:numFmt w:val="decimal"/>
      <w:lvlText w:val="%4."/>
      <w:lvlJc w:val="left"/>
      <w:pPr>
        <w:tabs>
          <w:tab w:val="num" w:pos="1857"/>
        </w:tabs>
        <w:ind w:left="1857" w:hanging="360"/>
      </w:pPr>
      <w:rPr/>
    </w:lvl>
    <w:lvl w:ilvl="4">
      <w:start w:val="1"/>
      <w:numFmt w:val="decimal"/>
      <w:lvlText w:val="%5."/>
      <w:lvlJc w:val="left"/>
      <w:pPr>
        <w:tabs>
          <w:tab w:val="num" w:pos="2217"/>
        </w:tabs>
        <w:ind w:left="2217" w:hanging="360"/>
      </w:pPr>
      <w:rPr/>
    </w:lvl>
    <w:lvl w:ilvl="5">
      <w:start w:val="1"/>
      <w:numFmt w:val="decimal"/>
      <w:lvlText w:val="%6."/>
      <w:lvlJc w:val="left"/>
      <w:pPr>
        <w:tabs>
          <w:tab w:val="num" w:pos="2577"/>
        </w:tabs>
        <w:ind w:left="2577" w:hanging="360"/>
      </w:pPr>
      <w:rPr/>
    </w:lvl>
    <w:lvl w:ilvl="6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  <w:rPr/>
    </w:lvl>
    <w:lvl w:ilvl="7">
      <w:start w:val="1"/>
      <w:numFmt w:val="decimal"/>
      <w:lvlText w:val="%8."/>
      <w:lvlJc w:val="left"/>
      <w:pPr>
        <w:tabs>
          <w:tab w:val="num" w:pos="3297"/>
        </w:tabs>
        <w:ind w:left="3297" w:hanging="360"/>
      </w:pPr>
      <w:rPr/>
    </w:lvl>
    <w:lvl w:ilvl="8">
      <w:start w:val="1"/>
      <w:numFmt w:val="decimal"/>
      <w:lvlText w:val="%9."/>
      <w:lvlJc w:val="left"/>
      <w:pPr>
        <w:tabs>
          <w:tab w:val="num" w:pos="3657"/>
        </w:tabs>
        <w:ind w:left="3657" w:hanging="360"/>
      </w:pPr>
      <w:rPr/>
    </w:lvl>
  </w:abstractNum>
  <w:abstractNum w:abstractNumId="5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qFormat/>
    <w:pPr>
      <w:keepNext w:val="true"/>
      <w:spacing w:lineRule="auto" w:line="240" w:before="0" w:after="0"/>
      <w:jc w:val="center"/>
      <w:outlineLvl w:val="0"/>
    </w:pPr>
    <w:rPr>
      <w:rFonts w:ascii="Times New Roman" w:hAnsi="Times New Roman" w:eastAsia="Times New Roman"/>
      <w:b/>
      <w:sz w:val="40"/>
      <w:szCs w:val="20"/>
      <w:lang w:eastAsia="ru-RU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nhideWhenUsed/>
    <w:qFormat/>
    <w:pPr>
      <w:keepNext w:val="true"/>
      <w:tabs>
        <w:tab w:val="clear" w:pos="720"/>
        <w:tab w:val="left" w:pos="142" w:leader="none"/>
      </w:tabs>
      <w:spacing w:lineRule="auto" w:line="360" w:before="0" w:after="0"/>
      <w:jc w:val="center"/>
      <w:outlineLvl w:val="6"/>
    </w:pPr>
    <w:rPr>
      <w:rFonts w:ascii="Times New Roman" w:hAnsi="Times New Roman" w:eastAsia="Times New Roman"/>
      <w:sz w:val="36"/>
      <w:szCs w:val="20"/>
      <w:lang w:eastAsia="ru-RU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Style6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8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Pr>
      <w:rFonts w:ascii="Times New Roman" w:hAnsi="Times New Roman" w:eastAsia="Times New Roman" w:cs="Times New Roman"/>
      <w:b/>
      <w:sz w:val="40"/>
      <w:szCs w:val="20"/>
      <w:lang w:eastAsia="ru-RU"/>
    </w:rPr>
  </w:style>
  <w:style w:type="character" w:styleId="71" w:customStyle="1">
    <w:name w:val="Заголовок 7 Знак"/>
    <w:basedOn w:val="DefaultParagraphFont"/>
    <w:qFormat/>
    <w:rPr>
      <w:rFonts w:ascii="Times New Roman" w:hAnsi="Times New Roman" w:eastAsia="Times New Roman" w:cs="Times New Roman"/>
      <w:sz w:val="36"/>
      <w:szCs w:val="20"/>
      <w:lang w:eastAsia="ru-RU"/>
    </w:rPr>
  </w:style>
  <w:style w:type="character" w:styleId="Style9" w:customStyle="1">
    <w:name w:val="Верхний колонтитул Знак"/>
    <w:basedOn w:val="DefaultParagraphFont"/>
    <w:uiPriority w:val="99"/>
    <w:qFormat/>
    <w:rPr>
      <w:rFonts w:ascii="Calibri" w:hAnsi="Calibri" w:eastAsia="Calibri" w:cs="Times New Roman"/>
    </w:rPr>
  </w:style>
  <w:style w:type="character" w:styleId="Style10" w:customStyle="1">
    <w:name w:val="Текст выноски Знак"/>
    <w:basedOn w:val="DefaultParagraphFont"/>
    <w:qFormat/>
    <w:rPr>
      <w:rFonts w:ascii="Segoe UI" w:hAnsi="Segoe UI" w:eastAsia="Calibri" w:cs="Segoe UI"/>
      <w:sz w:val="18"/>
      <w:szCs w:val="18"/>
    </w:rPr>
  </w:style>
  <w:style w:type="character" w:styleId="-">
    <w:name w:val="Hyperlink"/>
    <w:uiPriority w:val="99"/>
    <w:unhideWhenUsed/>
    <w:rPr>
      <w:rFonts w:ascii="Times New Roman" w:hAnsi="Times New Roman" w:cs="Times New Roman"/>
      <w:color w:val="0000FF"/>
      <w:u w:val="single"/>
    </w:rPr>
  </w:style>
  <w:style w:type="character" w:styleId="Style11" w:customStyle="1">
    <w:name w:val="Нижний колонтитул Знак"/>
    <w:basedOn w:val="DefaultParagraphFont"/>
    <w:uiPriority w:val="99"/>
    <w:qFormat/>
    <w:rPr>
      <w:rFonts w:ascii="Calibri" w:hAnsi="Calibri" w:eastAsia="Calibri" w:cs="Times New Roman"/>
    </w:rPr>
  </w:style>
  <w:style w:type="character" w:styleId="Style12" w:customStyle="1">
    <w:name w:val="Текст примечания Знак"/>
    <w:basedOn w:val="DefaultParagraphFont"/>
    <w:semiHidden/>
    <w:qFormat/>
    <w:rPr>
      <w:rFonts w:ascii="Tahoma" w:hAnsi="Tahoma" w:eastAsia="Times New Roman" w:cs="Times New Roman"/>
      <w:sz w:val="24"/>
      <w:szCs w:val="20"/>
      <w:lang w:eastAsia="ru-RU"/>
    </w:rPr>
  </w:style>
  <w:style w:type="character" w:styleId="Style13" w:customStyle="1">
    <w:name w:val="Основной текст с отступом Знак"/>
    <w:basedOn w:val="DefaultParagraphFont"/>
    <w:qFormat/>
    <w:rPr>
      <w:rFonts w:ascii="Times New Roman" w:hAnsi="Times New Roman" w:eastAsia="Times New Roman" w:cs="Times New Roman"/>
      <w:b/>
      <w:sz w:val="48"/>
      <w:szCs w:val="20"/>
      <w:lang w:eastAsia="ru-RU"/>
    </w:rPr>
  </w:style>
  <w:style w:type="character" w:styleId="Style14" w:customStyle="1">
    <w:name w:val="Подзаголовок Знак"/>
    <w:basedOn w:val="DefaultParagraphFont"/>
    <w:qFormat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Style15" w:customStyle="1">
    <w:name w:val="Тема примечания Знак"/>
    <w:basedOn w:val="Style12"/>
    <w:semiHidden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Apple-converted-space" w:customStyle="1">
    <w:name w:val="apple-converted-space"/>
    <w:basedOn w:val="DefaultParagraphFont"/>
    <w:qFormat/>
    <w:rPr/>
  </w:style>
  <w:style w:type="character" w:styleId="Msg-body-block" w:customStyle="1">
    <w:name w:val="msg-body-block"/>
    <w:basedOn w:val="DefaultParagraphFont"/>
    <w:qFormat/>
    <w:rPr/>
  </w:style>
  <w:style w:type="character" w:styleId="Apple-style-span" w:customStyle="1">
    <w:name w:val="apple-style-span"/>
    <w:basedOn w:val="DefaultParagraphFont"/>
    <w:qFormat/>
    <w:rPr/>
  </w:style>
  <w:style w:type="character" w:styleId="Annotationreference">
    <w:name w:val="annotation reference"/>
    <w:semiHidden/>
    <w:unhideWhenUsed/>
    <w:qFormat/>
    <w:rPr>
      <w:sz w:val="16"/>
      <w:szCs w:val="16"/>
    </w:rPr>
  </w:style>
  <w:style w:type="character" w:styleId="Style16">
    <w:name w:val="Символ нумерации"/>
    <w:qFormat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Style22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160"/>
      <w:ind w:left="720" w:right="720" w:hanging="0"/>
    </w:pPr>
    <w:rPr>
      <w:i/>
    </w:rPr>
  </w:style>
  <w:style w:type="paragraph" w:styleId="Style23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4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2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25">
    <w:name w:val="Колонтитул"/>
    <w:basedOn w:val="Normal"/>
    <w:qFormat/>
    <w:pPr/>
    <w:rPr/>
  </w:style>
  <w:style w:type="paragraph" w:styleId="Style26">
    <w:name w:val="Header"/>
    <w:basedOn w:val="Normal"/>
    <w:uiPriority w:val="99"/>
    <w:unhideWhenUsed/>
    <w:pPr>
      <w:tabs>
        <w:tab w:val="clear" w:pos="720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efault" w:customStyle="1">
    <w:name w:val="Default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andard" w:customStyle="1">
    <w:name w:val="Standard"/>
    <w:qFormat/>
    <w:pPr>
      <w:widowControl/>
      <w:suppressAutoHyphens w:val="true"/>
      <w:bidi w:val="0"/>
      <w:spacing w:lineRule="auto" w:line="240" w:beforeAutospacing="0" w:before="0" w:afterAutospacing="0" w:after="0"/>
      <w:ind w:firstLine="425"/>
      <w:jc w:val="left"/>
    </w:pPr>
    <w:rPr>
      <w:rFonts w:ascii="Liberation Serif" w:hAnsi="Liberation Serif" w:eastAsia="SimSun" w:cs="Mangal"/>
      <w:color w:val="00000A"/>
      <w:kern w:val="0"/>
      <w:sz w:val="24"/>
      <w:szCs w:val="24"/>
      <w:lang w:val="ru-RU" w:eastAsia="zh-CN" w:bidi="hi-IN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unhideWhenUsed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Calibri"/>
      <w:color w:val="00000A"/>
      <w:kern w:val="0"/>
      <w:sz w:val="22"/>
      <w:szCs w:val="22"/>
      <w:lang w:val="ru-RU" w:eastAsia="zh-CN" w:bidi="ar-SA"/>
    </w:rPr>
  </w:style>
  <w:style w:type="paragraph" w:styleId="Style27">
    <w:name w:val="Footer"/>
    <w:basedOn w:val="Normal"/>
    <w:uiPriority w:val="99"/>
    <w:unhideWhenUsed/>
    <w:pPr>
      <w:tabs>
        <w:tab w:val="clear" w:pos="720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semiHidden/>
    <w:unhideWhenUsed/>
    <w:qFormat/>
    <w:pPr>
      <w:spacing w:lineRule="auto" w:line="240" w:before="0" w:after="0"/>
    </w:pPr>
    <w:rPr>
      <w:rFonts w:ascii="Tahoma" w:hAnsi="Tahoma" w:eastAsia="Times New Roman"/>
      <w:sz w:val="24"/>
      <w:szCs w:val="20"/>
      <w:lang w:eastAsia="ru-RU"/>
    </w:rPr>
  </w:style>
  <w:style w:type="paragraph" w:styleId="Style28">
    <w:name w:val="Body Text Indent"/>
    <w:basedOn w:val="Normal"/>
    <w:unhideWhenUsed/>
    <w:pPr>
      <w:tabs>
        <w:tab w:val="clear" w:pos="720"/>
        <w:tab w:val="left" w:pos="5954" w:leader="none"/>
      </w:tabs>
      <w:spacing w:lineRule="auto" w:line="240" w:before="0" w:after="0"/>
      <w:ind w:left="4962" w:firstLine="272"/>
    </w:pPr>
    <w:rPr>
      <w:rFonts w:ascii="Times New Roman" w:hAnsi="Times New Roman" w:eastAsia="Times New Roman"/>
      <w:b/>
      <w:sz w:val="48"/>
      <w:szCs w:val="20"/>
      <w:lang w:eastAsia="ru-RU"/>
    </w:rPr>
  </w:style>
  <w:style w:type="paragraph" w:styleId="Style29">
    <w:name w:val="Subtitle"/>
    <w:basedOn w:val="Normal"/>
    <w:qFormat/>
    <w:pPr>
      <w:spacing w:lineRule="auto" w:line="240" w:before="0" w:after="0"/>
      <w:jc w:val="center"/>
    </w:pPr>
    <w:rPr>
      <w:rFonts w:ascii="Times New Roman" w:hAnsi="Times New Roman" w:eastAsia="Times New Roman"/>
      <w:b/>
      <w:sz w:val="28"/>
      <w:szCs w:val="20"/>
      <w:lang w:eastAsia="ru-RU"/>
    </w:rPr>
  </w:style>
  <w:style w:type="paragraph" w:styleId="Annotationsubject">
    <w:name w:val="annotation subject"/>
    <w:basedOn w:val="Annotationtext"/>
    <w:semiHidden/>
    <w:unhideWhenUsed/>
    <w:qFormat/>
    <w:pPr>
      <w:widowControl w:val="false"/>
    </w:pPr>
    <w:rPr>
      <w:rFonts w:ascii="Times New Roman" w:hAnsi="Times New Roman"/>
      <w:b/>
      <w:bCs/>
      <w:sz w:val="20"/>
    </w:rPr>
  </w:style>
  <w:style w:type="paragraph" w:styleId="12">
    <w:name w:val="TOC 1"/>
    <w:basedOn w:val="Normal"/>
    <w:uiPriority w:val="39"/>
    <w:pPr>
      <w:widowControl w:val="false"/>
      <w:spacing w:lineRule="auto" w:line="240" w:before="0" w:after="0"/>
    </w:pPr>
    <w:rPr>
      <w:rFonts w:ascii="Times New Roman" w:hAnsi="Times New Roman" w:eastAsia="Times New Roman"/>
      <w:sz w:val="20"/>
      <w:szCs w:val="20"/>
      <w:lang w:eastAsia="ru-RU"/>
    </w:rPr>
  </w:style>
  <w:style w:type="paragraph" w:styleId="21">
    <w:name w:val="TOC 2"/>
    <w:basedOn w:val="Normal"/>
    <w:uiPriority w:val="39"/>
    <w:pPr>
      <w:widowControl w:val="false"/>
      <w:spacing w:lineRule="auto" w:line="240" w:before="0" w:after="0"/>
      <w:ind w:left="200" w:hanging="0"/>
    </w:pPr>
    <w:rPr>
      <w:rFonts w:ascii="Times New Roman" w:hAnsi="Times New Roman" w:eastAsia="Times New Roman"/>
      <w:sz w:val="20"/>
      <w:szCs w:val="20"/>
      <w:lang w:eastAsia="ru-RU"/>
    </w:rPr>
  </w:style>
  <w:style w:type="paragraph" w:styleId="31">
    <w:name w:val="TOC 3"/>
    <w:basedOn w:val="Normal"/>
    <w:uiPriority w:val="39"/>
    <w:pPr>
      <w:widowControl w:val="false"/>
      <w:spacing w:lineRule="auto" w:line="240" w:before="0" w:after="0"/>
      <w:ind w:left="400" w:hanging="0"/>
    </w:pPr>
    <w:rPr>
      <w:rFonts w:ascii="Times New Roman" w:hAnsi="Times New Roman" w:eastAsia="Times New Roman"/>
      <w:sz w:val="20"/>
      <w:szCs w:val="20"/>
      <w:lang w:eastAsia="ru-RU"/>
    </w:rPr>
  </w:style>
  <w:style w:type="paragraph" w:styleId="3dmsonormal" w:customStyle="1">
    <w:name w:val="3d&quot;msonormal&quot;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tyle30" w:customStyle="1">
    <w:name w:val="Содержимое таблицы"/>
    <w:basedOn w:val="Normal"/>
    <w:qFormat/>
    <w:pPr>
      <w:widowControl w:val="false"/>
      <w:suppressLineNumbers/>
      <w:spacing w:lineRule="atLeast" w:line="100" w:before="0" w:after="0"/>
    </w:pPr>
    <w:rPr>
      <w:rFonts w:ascii="Times New Roman" w:hAnsi="Times New Roman" w:eastAsia="SimSun" w:cs="Mangal"/>
      <w:sz w:val="24"/>
      <w:szCs w:val="24"/>
      <w:lang w:eastAsia="zh-CN" w:bidi="hi-IN"/>
    </w:rPr>
  </w:style>
  <w:style w:type="paragraph" w:styleId="ConsPlusTitle" w:customStyle="1">
    <w:name w:val="ConsPlusTitle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val="ru-RU" w:eastAsia="ru-RU" w:bidi="ar-SA"/>
    </w:rPr>
  </w:style>
  <w:style w:type="paragraph" w:styleId="Style31">
    <w:name w:val="Index Heading"/>
    <w:basedOn w:val="Style17"/>
    <w:pPr/>
    <w:rPr/>
  </w:style>
  <w:style w:type="paragraph" w:styleId="Style32">
    <w:name w:val="TOC Heading"/>
    <w:basedOn w:val="1"/>
    <w:uiPriority w:val="39"/>
    <w:semiHidden/>
    <w:unhideWhenUsed/>
    <w:qFormat/>
    <w:pPr>
      <w:keepLines/>
      <w:spacing w:lineRule="auto" w:line="276" w:before="480" w:after="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13">
    <w:name w:val="1"/>
    <w:basedOn w:val="Normal"/>
    <w:qFormat/>
    <w:pPr>
      <w:tabs>
        <w:tab w:val="clear" w:pos="720"/>
        <w:tab w:val="left" w:pos="8205" w:leader="none"/>
      </w:tabs>
      <w:spacing w:before="0" w:after="0"/>
      <w:ind w:firstLine="851"/>
      <w:jc w:val="both"/>
    </w:pPr>
    <w:rPr/>
  </w:style>
  <w:style w:type="paragraph" w:styleId="Style33">
    <w:name w:val="Заголовок таблицы"/>
    <w:basedOn w:val="Style30"/>
    <w:qFormat/>
    <w:pPr>
      <w:suppressLineNumbers/>
      <w:jc w:val="center"/>
    </w:pPr>
    <w:rPr>
      <w:b/>
      <w:bCs/>
    </w:rPr>
  </w:style>
  <w:style w:type="paragraph" w:styleId="TableParagraph">
    <w:name w:val="Table Paragraph"/>
    <w:basedOn w:val="Normal"/>
    <w:qFormat/>
    <w:pPr>
      <w:ind w:left="112" w:right="0" w:hanging="0"/>
      <w:jc w:val="center"/>
    </w:pPr>
    <w:rPr>
      <w:rFonts w:ascii="Times New Roman" w:hAnsi="Times New Roman" w:eastAsia="Times New Roman" w:cs="Times New Roman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53DAF-4FFE-4622-94E4-C5AA541F5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1605</TotalTime>
  <Application>LibreOffice/7.5.9.2$Windows_x86 LibreOffice_project/cdeefe45c17511d326101eed8008ac4092f278a9</Application>
  <AppVersion>15.0000</AppVersion>
  <Pages>55</Pages>
  <Words>13087</Words>
  <Characters>86007</Characters>
  <CharactersWithSpaces>96608</CharactersWithSpaces>
  <Paragraphs>2747</Paragraphs>
  <Company>Администрация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2024-07-17T09:11:00Z</dcterms:created>
  <dc:creator>Мухина Кристина Евгеньевна</dc:creator>
  <dc:description/>
  <dc:language>ru-RU</dc:language>
  <cp:lastModifiedBy/>
  <dcterms:modified xsi:type="dcterms:W3CDTF">2025-05-21T11:18:44Z</dcterms:modified>
  <cp:revision>65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